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ASCEND WELLNESS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4"/>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333-254800</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No.)</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2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174 NJ-17</w:t>
            </w:r>
          </w:p>
        </w:tc>
        <w:tc>
          <w:tcPr>
            <w:tcW w:w="3160" w:type="dxa"/>
            <w:vAlign w:val="bottom"/>
          </w:tcPr>
          <w:p>
            <w:pPr>
              <w:spacing w:after="0"/>
              <w:rPr>
                <w:sz w:val="24"/>
                <w:szCs w:val="24"/>
                <w:color w:val="auto"/>
              </w:rPr>
            </w:pPr>
          </w:p>
        </w:tc>
      </w:tr>
      <w:tr>
        <w:trPr>
          <w:trHeight w:val="238"/>
        </w:trPr>
        <w:tc>
          <w:tcPr>
            <w:tcW w:w="3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Rochelle Park, NJ 07662</w:t>
            </w:r>
          </w:p>
        </w:tc>
        <w:tc>
          <w:tcPr>
            <w:tcW w:w="3160" w:type="dxa"/>
            <w:vAlign w:val="bottom"/>
            <w:tcBorders>
              <w:bottom w:val="single" w:sz="8" w:color="auto"/>
            </w:tcBorders>
          </w:tcPr>
          <w:p>
            <w:pPr>
              <w:spacing w:after="0"/>
              <w:rPr>
                <w:sz w:val="20"/>
                <w:szCs w:val="20"/>
                <w:color w:val="auto"/>
              </w:rPr>
            </w:pPr>
          </w:p>
        </w:tc>
      </w:tr>
      <w:tr>
        <w:trPr>
          <w:trHeight w:val="228"/>
        </w:trPr>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60" w:type="dxa"/>
            <w:vAlign w:val="bottom"/>
          </w:tcPr>
          <w:p>
            <w:pPr>
              <w:spacing w:after="0"/>
              <w:rPr>
                <w:sz w:val="19"/>
                <w:szCs w:val="19"/>
                <w:color w:val="auto"/>
              </w:rPr>
            </w:pPr>
          </w:p>
        </w:tc>
      </w:tr>
      <w:tr>
        <w:trPr>
          <w:trHeight w:val="373"/>
        </w:trPr>
        <w:tc>
          <w:tcPr>
            <w:tcW w:w="3160" w:type="dxa"/>
            <w:vAlign w:val="bottom"/>
          </w:tcPr>
          <w:p>
            <w:pPr>
              <w:spacing w:after="0"/>
              <w:rPr>
                <w:sz w:val="24"/>
                <w:szCs w:val="24"/>
                <w:color w:val="auto"/>
              </w:rPr>
            </w:pPr>
          </w:p>
        </w:tc>
        <w:tc>
          <w:tcPr>
            <w:tcW w:w="190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60" w:type="dxa"/>
            <w:vAlign w:val="bottom"/>
          </w:tcPr>
          <w:p>
            <w:pPr>
              <w:spacing w:after="0"/>
              <w:rPr>
                <w:sz w:val="20"/>
                <w:szCs w:val="20"/>
                <w:color w:val="auto"/>
              </w:rPr>
            </w:pPr>
          </w:p>
        </w:tc>
      </w:tr>
      <w:tr>
        <w:trPr>
          <w:trHeight w:val="439"/>
        </w:trPr>
        <w:tc>
          <w:tcPr>
            <w:tcW w:w="3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n/a</w:t>
            </w:r>
          </w:p>
        </w:tc>
        <w:tc>
          <w:tcPr>
            <w:tcW w:w="3160" w:type="dxa"/>
            <w:vAlign w:val="bottom"/>
            <w:tcBorders>
              <w:bottom w:val="single" w:sz="8" w:color="auto"/>
            </w:tcBorders>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9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160" w:type="dxa"/>
            <w:vAlign w:val="bottom"/>
          </w:tcPr>
          <w:p>
            <w:pPr>
              <w:spacing w:after="0"/>
              <w:rPr>
                <w:sz w:val="20"/>
                <w:szCs w:val="20"/>
                <w:color w:val="auto"/>
              </w:rPr>
            </w:pPr>
          </w:p>
        </w:tc>
      </w:tr>
    </w:tbl>
    <w:p>
      <w:pPr>
        <w:spacing w:after="0" w:line="179"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 Change in Fiscal Year.</w:t>
      </w:r>
    </w:p>
    <w:p>
      <w:pPr>
        <w:spacing w:after="0" w:line="2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and effective as of June 24, 2026,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Ascend Wellness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amended and restated the Company’s bylaws (as so amended and restated,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Amended and Restated Bylaws</w:t>
      </w:r>
      <w:r>
        <w:rPr>
          <w:rFonts w:ascii="Times New Roman" w:cs="Times New Roman" w:eastAsia="Times New Roman" w:hAnsi="Times New Roman"/>
          <w:sz w:val="18"/>
          <w:szCs w:val="18"/>
          <w:color w:val="auto"/>
        </w:rPr>
        <w:t>”) to reduce the requisite quorum at all meetings of stockholders for the transaction of business from the holders of a majority to the holders of one third (1/3) of the Company’s voting power of stock issued and outstanding and entitled to vote, present in person, or by remote communication, if applicable, or represented by proxy, unless otherwise required by applicable law or the Company’s certificate of incorporation.</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does not purport to be complete and is qualified in its entirety by reference to the full text of the Amended and Restated Bylaws, a copy of which is attached hereto as Exhibit 3.1 and is incorporated by reference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4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240" w:type="dxa"/>
            <w:vAlign w:val="bottom"/>
            <w:tcBorders>
              <w:top w:val="single" w:sz="8" w:color="auto"/>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20" w:type="dxa"/>
            <w:vAlign w:val="bottom"/>
            <w:tcBorders>
              <w:top w:val="single" w:sz="8" w:color="auto"/>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Amended and Restated Bylaws of Ascend Wellness Holdings, Inc. (effective as of June 24, 2026)</w:t>
            </w:r>
          </w:p>
        </w:tc>
        <w:tc>
          <w:tcPr>
            <w:tcW w:w="29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57"/>
        </w:trPr>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tc>
      </w:tr>
      <w:tr>
        <w:trPr>
          <w:trHeight w:val="39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25, 2026</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r>
        <w:trPr>
          <w:trHeight w:val="191"/>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Roman Nemchenko</w:t>
            </w:r>
          </w:p>
        </w:tc>
      </w:tr>
      <w:tr>
        <w:trPr>
          <w:trHeight w:val="216"/>
        </w:trPr>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75"/>
        </w:trPr>
        <w:tc>
          <w:tcPr>
            <w:tcW w:w="10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Effective as of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7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872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Page</w:t>
            </w:r>
          </w:p>
        </w:tc>
      </w:tr>
      <w:tr>
        <w:trPr>
          <w:trHeight w:val="4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1.1 REGISTERED OFFICE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1.2 OTHER OFFICES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 PLACE OF MEETINGS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2.2 ANNUAL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2.3 SPECIAL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2.4 ADVANCE NOTICE PROCEDURES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2.5 NOTICE OF STOCKHOLDERS’ MEETINGS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2.6 QUORUM</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2.7 ADJOURNED MEETING; NOTICE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2.8 CONDUCT OF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2.9 VOTING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2.11 RECORD DATES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2.12 PROXIES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2.13 LIST OF STOCKHOLDERS ENTITLED TO VOTE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2.14 INSPECTORS OF ELECTION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3.1 POWERS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3.2 NUMBER OF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3.4 RESIGNATION AND VACANCIES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3.5 PLACE OF MEETINGS; MEETINGS BY TELEPHONE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3.6 REGULAR MEETINGS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3.7 SPECIAL MEETINGS; NOTICE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3.8 QUORUM; VOTING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3.10 FEES AND COMPENSATION OF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3.11 REMOVAL OF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4.1 COMMITTEES OF DIRECTORS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4.2 COMMITTEE MINUTES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4.3 MEETINGS AND ACTION OF COMMITTEES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4.4 SUBCOMMITTEES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702"/>
        </w:trPr>
        <w:tc>
          <w:tcPr>
            <w:tcW w:w="8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5.1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5.2 APPOINTMENT OF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5.3 SUBORDINATE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5.4 REMOVAL AND RESIGNATION OF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5.5 VACANCIES IN OFFICES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5.7 AUTHORITY AND DUTIES OF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6.1 STOCK CERTIFICATES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6.2 LOST CERTIFICATES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6.3 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6.4 TRANSFER OF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6.5 STOCK TRANSFER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6.6 REGISTERED STOCKHOLDERS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7.1 NOTICE OF STOCKHOLDERS’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7.2 NOTICE BY ELECTRONIC TRANSMISSION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7.3 NOTICE TO STOCKHOLDERS SHARING AN ADDRESS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7.4 NOTICE TO PERSON WITH WHOM COMMUNICATION IS UNLAWFUL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7.5 WAIVER OF NOTICE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8.3 SUCCESSFUL DEFENSE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8.4 INDEMNIFICATION OF 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8.5 ADVANCE PAYMENT OF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8.6 LIMITATION ON INDEMNIFICATION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8.7 NON-EXCLUSIVITY OF RIGHTS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8.8 INSURANCE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8.9 SURVIVAL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8.10 EFFECT OF REPEAL OR MODIFICATION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8.11 CERTAIN DEFINITIONS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9.2 FISCAL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9.3 SEAL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9.4 CONSTRUCTION; DEFINITIONS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9.5 CONFLICT WITH APPLICABLE LAW OR CERTIFICATE OF INCORPORATION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9.6 BOOKS AND RECORDS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ARTICLE XI - EXCLUSIVE FORUM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675"/>
        </w:trPr>
        <w:tc>
          <w:tcPr>
            <w:tcW w:w="10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BYLAWS OF ASCEND WELLNESS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registered office of Ascend Wellness Holdings,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be fixed in the Corporation’s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as the same may be amended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Corporation may have other offices, both within and without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Directors</w:t>
      </w:r>
      <w:r>
        <w:rPr>
          <w:rFonts w:ascii="Times New Roman" w:cs="Times New Roman" w:eastAsia="Times New Roman" w:hAnsi="Times New Roman"/>
          <w:sz w:val="18"/>
          <w:szCs w:val="18"/>
          <w:color w:val="auto"/>
        </w:rPr>
        <w:t>”) from time to time shall determine or the business of the Corporation may require.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purposes of these bylaws, the term “</w:t>
      </w:r>
      <w:r>
        <w:rPr>
          <w:rFonts w:ascii="Times New Roman" w:cs="Times New Roman" w:eastAsia="Times New Roman" w:hAnsi="Times New Roman"/>
          <w:sz w:val="18"/>
          <w:szCs w:val="18"/>
          <w:b w:val="1"/>
          <w:bCs w:val="1"/>
          <w:i w:val="1"/>
          <w:iCs w:val="1"/>
          <w:color w:val="auto"/>
        </w:rPr>
        <w:t>Whole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total number of authorized directors whether or not there exist any vacancies or unfilled seats in previously authorized directorships.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A special meeting of the stockholders, other than as required by statute, may be called at any time by (a) the Board of Directors, acting pursuant to a resolution adopted by a majority of the Whole Board, (b) the chairperson of the Board of Directors, or (c) the chief executive officer or the president (in the absence of a chief executive officer),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be in writing;</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specify the general nature of the business proposed to be transacted, subject to any additional applicable requirements as are set forth in Section 2.4(iii) and in Section 2.4(i)(b) (for the proposal of business other than nominations);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Upon receipt of such a request, the Board of Directors shall determine the date, time and place of such special meeting, which must be scheduled to be held on a date that is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or in the notice specified in Section 2.3(ii) above. Nothing contained in this Section 2.3(iii) shall be construed as limiting, fixing or affecting the time when a meeting of stockholders called by action of the Board of Directors may be held.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22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Advance Notice of Stockholder Business.</w:t>
      </w:r>
      <w:r>
        <w:rPr>
          <w:rFonts w:ascii="Times New Roman" w:cs="Times New Roman" w:eastAsia="Times New Roman" w:hAnsi="Times New Roman"/>
          <w:sz w:val="18"/>
          <w:szCs w:val="18"/>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w:t>
      </w:r>
    </w:p>
    <w:p>
      <w:pPr>
        <w:spacing w:after="0" w:line="1" w:lineRule="exact"/>
        <w:rPr>
          <w:sz w:val="20"/>
          <w:szCs w:val="20"/>
          <w:color w:val="auto"/>
        </w:rPr>
      </w:pPr>
    </w:p>
    <w:p>
      <w:pPr>
        <w:jc w:val="both"/>
        <w:ind w:firstLine="8"/>
        <w:spacing w:after="0" w:line="253"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as amended, or any successor thereto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before an annual meeting of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a document publicly filed by the Corporation with the Securities and Exchange Commission pursuant to Section 13, 14 or 15(d) of the 1934 Act.</w:t>
      </w:r>
    </w:p>
    <w:p>
      <w:pPr>
        <w:spacing w:after="0" w:line="190"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w:t>
      </w:r>
    </w:p>
    <w:p>
      <w:pPr>
        <w:spacing w:after="0" w:line="1" w:lineRule="exact"/>
        <w:rPr>
          <w:sz w:val="20"/>
          <w:szCs w:val="20"/>
          <w:color w:val="auto"/>
        </w:rPr>
      </w:pPr>
    </w:p>
    <w:p>
      <w:pPr>
        <w:jc w:val="both"/>
        <w:ind w:firstLine="8"/>
        <w:spacing w:after="0" w:line="25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(6), a “</w:t>
      </w:r>
      <w:r>
        <w:rPr>
          <w:rFonts w:ascii="Times New Roman" w:cs="Times New Roman" w:eastAsia="Times New Roman" w:hAnsi="Times New Roman"/>
          <w:sz w:val="18"/>
          <w:szCs w:val="18"/>
          <w:b w:val="1"/>
          <w:bCs w:val="1"/>
          <w:i w:val="1"/>
          <w:iCs w:val="1"/>
          <w:color w:val="auto"/>
        </w:rPr>
        <w:t>Business Solicitation Statement</w:t>
      </w:r>
      <w:r>
        <w:rPr>
          <w:rFonts w:ascii="Times New Roman" w:cs="Times New Roman" w:eastAsia="Times New Roman" w:hAnsi="Times New Roman"/>
          <w:sz w:val="18"/>
          <w:szCs w:val="18"/>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 (4) above as of such record date. For purposes of this Section 2.4, a “</w:t>
      </w:r>
      <w:r>
        <w:rPr>
          <w:rFonts w:ascii="Times New Roman" w:cs="Times New Roman" w:eastAsia="Times New Roman" w:hAnsi="Times New Roman"/>
          <w:sz w:val="18"/>
          <w:szCs w:val="18"/>
          <w:b w:val="1"/>
          <w:bCs w:val="1"/>
          <w:i w:val="1"/>
          <w:iCs w:val="1"/>
          <w:color w:val="auto"/>
        </w:rPr>
        <w:t>Stockholder Associated Person</w:t>
      </w:r>
      <w:r>
        <w:rPr>
          <w:rFonts w:ascii="Times New Roman" w:cs="Times New Roman" w:eastAsia="Times New Roman" w:hAnsi="Times New Roman"/>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9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(c)            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304"/>
        <w:spacing w:after="0" w:line="255" w:lineRule="auto"/>
        <w:tabs>
          <w:tab w:leader="none" w:pos="15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            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i w:val="1"/>
          <w:iCs w:val="1"/>
          <w:color w:val="auto"/>
        </w:rPr>
        <w:t>nominee</w:t>
      </w:r>
      <w:r>
        <w:rPr>
          <w:rFonts w:ascii="Times New Roman" w:cs="Times New Roman" w:eastAsia="Times New Roman" w:hAnsi="Times New Roman"/>
          <w:sz w:val="18"/>
          <w:szCs w:val="18"/>
          <w:color w:val="auto"/>
        </w:rPr>
        <w:t>”) whom the stockholder proposes to nominate for election or re-election as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 the name, age, business address and residence address of the nominee, (B) the principal occupation or employment of the nominee, (C)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and number of shares of the Corporation that are held of record or are beneficially owned by the nominee and any derivative positions held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 held by the nominee, (D) whether and the extent to which any hedging or other transaction or series of transactions has been entered into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nominee with respect to any securities of the Corporation, and a description of any other agreement, arrangement or understanding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short position or any borrowing or lending of shares), the effect or intent of which is to mitigate loss to, or to manage the risk or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price changes for, or to increase or decrease the voting power of the nominee, (E) a description of all arrangements or understandings between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stockholder, any nominee or any other person or persons (naming such person or persons) pursuant to which the nominations are to be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 including a description of any compensatory, payment or other financial agreement, arrangement or understanding involving the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of any compensation or other payment received by or on behalf of the nominee, in each case in connection with candidacy or service as a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(F) a written statement executed by the nominee acknowledging and representing that the nominee intends to serve a full term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if elected and that, as a director of the Corporation, the nominee will owe a fiduciary duty under Delaware law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its stockholders, and (G) any other information relating to the nominee that would be required to be disclosed about such nominee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proxies were being solicited for the election of the nominee as a director, or that is otherwise required, in each case pursuant to Regulation 14A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1934 Act (including without limitation the nominee’s written consent to being named in the proxy statement, if any, as a nominee and to serving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if elected);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ind w:left="2600"/>
        <w:spacing w:after="0"/>
        <w:rPr>
          <w:sz w:val="20"/>
          <w:szCs w:val="20"/>
          <w:color w:val="auto"/>
        </w:rPr>
      </w:pPr>
      <w:r>
        <w:rPr>
          <w:rFonts w:ascii="Times New Roman" w:cs="Times New Roman" w:eastAsia="Times New Roman" w:hAnsi="Times New Roman"/>
          <w:sz w:val="17"/>
          <w:szCs w:val="17"/>
          <w:color w:val="auto"/>
        </w:rPr>
        <w:t>(2)            as to such stockholder giving notice, (A) the information required to be provided pursuant to clauses (2) through</w:t>
      </w:r>
    </w:p>
    <w:p>
      <w:pPr>
        <w:spacing w:after="0" w:line="39" w:lineRule="exact"/>
        <w:rPr>
          <w:sz w:val="20"/>
          <w:szCs w:val="20"/>
          <w:color w:val="auto"/>
        </w:rPr>
      </w:pPr>
    </w:p>
    <w:p>
      <w:pPr>
        <w:jc w:val="both"/>
        <w:ind w:firstLine="8"/>
        <w:spacing w:after="0" w:line="253"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Times New Roman" w:cs="Times New Roman" w:eastAsia="Times New Roman" w:hAnsi="Times New Roman"/>
          <w:sz w:val="18"/>
          <w:szCs w:val="18"/>
          <w:b w:val="1"/>
          <w:bCs w:val="1"/>
          <w:i w:val="1"/>
          <w:iCs w:val="1"/>
          <w:color w:val="auto"/>
        </w:rPr>
        <w:t>Nominee Solicitation 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(c)            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(d)            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Advance Notice of Director Nominations for Special Meetings.</w:t>
      </w:r>
    </w:p>
    <w:p>
      <w:pPr>
        <w:spacing w:after="0" w:line="227" w:lineRule="exact"/>
        <w:rPr>
          <w:sz w:val="20"/>
          <w:szCs w:val="20"/>
          <w:color w:val="auto"/>
        </w:rPr>
      </w:pPr>
    </w:p>
    <w:p>
      <w:pPr>
        <w:jc w:val="both"/>
        <w:ind w:firstLine="1944"/>
        <w:spacing w:after="0" w:line="270" w:lineRule="auto"/>
        <w:rPr>
          <w:sz w:val="20"/>
          <w:szCs w:val="20"/>
          <w:color w:val="auto"/>
        </w:rPr>
      </w:pPr>
      <w:r>
        <w:rPr>
          <w:rFonts w:ascii="Times New Roman" w:cs="Times New Roman" w:eastAsia="Times New Roman" w:hAnsi="Times New Roman"/>
          <w:sz w:val="17"/>
          <w:szCs w:val="17"/>
          <w:color w:val="auto"/>
        </w:rPr>
        <w:t>(a)            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w:t>
      </w:r>
    </w:p>
    <w:p>
      <w:pPr>
        <w:spacing w:after="0" w:line="3" w:lineRule="exact"/>
        <w:rPr>
          <w:sz w:val="20"/>
          <w:szCs w:val="20"/>
          <w:color w:val="auto"/>
        </w:rPr>
      </w:pPr>
    </w:p>
    <w:p>
      <w:pPr>
        <w:jc w:val="both"/>
        <w:ind w:firstLine="8"/>
        <w:spacing w:after="0" w:line="251" w:lineRule="auto"/>
        <w:tabs>
          <w:tab w:leader="none" w:pos="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Other Requirements and Rights.</w:t>
      </w:r>
      <w:r>
        <w:rPr>
          <w:rFonts w:ascii="Times New Roman" w:cs="Times New Roman" w:eastAsia="Times New Roman" w:hAnsi="Times New Roman"/>
          <w:sz w:val="18"/>
          <w:szCs w:val="18"/>
          <w:color w:val="auto"/>
        </w:rPr>
        <w:t xml:space="preserve"> In addition to the foregoing provisions of this Section 2.4, a stockholder must also comply with 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holders of at least one-third (1/3) of the voting power of the stock issued and outstanding and entitled to vote, present in person or represented by proxy, shall constitute a quorum for the transaction of business at all meetings of the stockholders. Where a separate vote by a class or series or classes or series is required, at least one-third (1/3)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required by the Certificate of Incorporation, the election of directors shall be by written ballot. If authorized by the Board of Directors, such requirement of a written ballot shall be satisfied by a ballot submitted by electronic transmission, provided that any such electronic transmission must either set forth or be submitted with information from which it can be determined that the electronic transmission was authorized by the stockholder or proxy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the shares of any series of Preferred Stock, and except for any written election to convert shares of the Corporation’s Class B Common Stock to Class A Common Stock as contemplated in the Certificate of Incorporation,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written proxy may be in the form of an electronic transmission which sets forth or is submitted with information from which it can be determined that the electronic transmission was authorized by the stockholder or in any other form permitted by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at least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any meeting of stockholders, the Board of Directors shall appoint an inspector or inspectors of election to act at the meeting or its adjournment. The Corporation may designate one (1) or more persons as alternate inspectors to replace any inspector who fails to act. Such inspectors shall take all actions as contemplated under Section 231 of the DGCL or any successor provision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authorized number of directors shall be determined from time to time by resolution adopted by a majority of the Whole Board. No reduction of the authorized number of directors shall have the effect in itself of removing any director before that director’s term of office expires.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or applicable law or permitted in the specific case by resolution of the Board of Directors, and subject to the rights of holders of Preferred Stock, any vacancy in the Board of Directors resulting from the death, resignation, removal or disqualification of any director or for any other reason, and any newly created directorship resulting from any increase in the authorized number of directors may be filled by a majority of the directors then in office, although less than a quorum, or by a sole remaining director, and may not be filled by stockholders.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If the directors are divided into classes as provided by the Certificate of Incorporation,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7.2),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unless required by statute.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or a committee thereof, shall have the authority to fix the compensation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prohibited by applicable law or the Certificate of Incorporation, any director may be removed from office at any time, with or without cause, by the affirmative vote of the holders of at least a majority of the voting power of the outstanding shares then entitled to vote for the election of directors.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in itself of removing any director prior to the expiration of such director’s term of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of Directors when required.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7.5 (waiver of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of Directors and its members.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60" w:hanging="656"/>
        <w:spacing w:after="0" w:line="261"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of Directors or by resolution of the committee;</w:t>
      </w: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of Directors; and</w:t>
      </w:r>
    </w:p>
    <w:p>
      <w:pPr>
        <w:spacing w:after="0" w:line="9"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be chosen by the Board of Directors and shall include a chief executive officer, a chief financial officer and any other officers as determined in the discretion of the Board of Directors.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Section 5.3.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any other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LOST CERTIFICATES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6.2,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DIVIDENDS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TRANSFER OF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 of the Corporation shall be transferable in the manner prescribed by law and in these bylaws. 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6.5 STOCK TRANSFER AGREEMENTS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REGISTERED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left="1960" w:hanging="656"/>
        <w:spacing w:after="0" w:line="261"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ind w:left="1960" w:hanging="656"/>
        <w:spacing w:after="0" w:line="26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NOTICE OF STOCKHOLDERS’ MEETINGS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NOTICE BY ELECTRONIC TRANSMISSION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80" w:lineRule="exact"/>
        <w:rPr>
          <w:sz w:val="20"/>
          <w:szCs w:val="20"/>
          <w:color w:val="auto"/>
        </w:rPr>
      </w:pPr>
    </w:p>
    <w:p>
      <w:pPr>
        <w:ind w:left="1960" w:right="140" w:hanging="656"/>
        <w:spacing w:after="0" w:line="261"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unable to deliver by electronic transmission two consecutive notices given by the Corporation in accordance with such consent; and</w:t>
      </w:r>
    </w:p>
    <w:p>
      <w:pPr>
        <w:ind w:left="1960" w:hanging="656"/>
        <w:spacing w:after="0" w:line="26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notice given pursuant to the preceding paragraph shall be deemed given as provided under Section 232 of the DGCL. An affidavit of the secretary or an assistant secretary or of the transfer agent or other agent of the Corporation that the notice has been given by a form of electronic transmission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by a form of electronic transmission shall not apply to Sections 164, 296, 311, 312 or 324 of the DGCL.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STOCKHOLDERS SHARING AN ADDRESS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7.3 shall not apply to Sections 164, 296, 311, 312 or 324 of the DGCL.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NOTICE TO PERSON WITH WHOM COMMUNICATION IS UNLAWFUL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7.5 WAIVER OF NOTICE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have power to indemnify its employees and agents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Corporation shall not be obligated to indemnify any person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for which payment has actually been made to or on behalf of such person under any statute, insurance policy, indemnity provision, vote or otherwise, except with respect to any excess beyond the amount paid;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if such person is held liable therefor (including pursuant to any settlement arrangements);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8.7 NON-EXCLUSIVITY OF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INSURANCE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 SURVIVAL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EFFECT OF REPEAL OR MODIFICATION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CERTAIN DEFINITIONS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i w:val="1"/>
          <w:i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 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as referred to in this Article VIII.</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412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includes both a corporation and a natural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9.5 CONFLICT WITH APPLICABLE LAW OR CERTIFICATE OF INCORPORATION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9.6 BOOKS AND RECORDS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records administered by or on behalf of the Corporation in the regular course of its business, including its stock ledger, books of account, and minute books, may be maintained on any information storage device, method, or one or more electronic networks or databases (including one or more distributed electronic networks or databases); provided that the records so kept can be converted into clearly legible paper form within a reasonable time, and, with respect to the stock ledger, the records so kept comply with Section 224 of the DGCL. The Corporation shall so convert any records so kept upon the request of any person entitled to inspect such records pursuant to applicable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These bylaws may be adopted, amended or repealed by the stockholders entitled to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or the Exchange Act of 1934,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the provisions of this Article XI.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upperLetter"/>
      <w:start w:val="2"/>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2026-06-25T16:12:48Z</dcterms:created>
  <dcterms:modified xsi:type="dcterms:W3CDTF">2026-06-25T16:12:48Z</dcterms:modified>
</cp:coreProperties>
</file>