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from______ to______</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Commission File Number: 333-254800 </w:t>
      </w:r>
    </w:p>
    <w:p>
      <w:pPr>
        <w:pStyle w:val="TextBody"/>
        <w:bidi w:val="0"/>
        <w:spacing w:before="0" w:after="0"/>
        <w:jc w:val="center"/>
        <w:rPr/>
      </w:pPr>
      <w:r>
        <w:rPr/>
        <w:drawing>
          <wp:inline distT="0" distB="0" distL="0" distR="0">
            <wp:extent cx="2381250"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876300"/>
                    </a:xfrm>
                    <a:prstGeom prst="rect">
                      <a:avLst/>
                    </a:prstGeom>
                  </pic:spPr>
                </pic:pic>
              </a:graphicData>
            </a:graphic>
          </wp:inline>
        </w:drawing>
      </w:r>
      <w:bookmarkStart w:id="0" w:name="i-1"/>
      <w:bookmarkEnd w:id="0"/>
    </w:p>
    <w:p>
      <w:pPr>
        <w:pStyle w:val="TextBody"/>
        <w:bidi w:val="0"/>
        <w:spacing w:lineRule="auto" w:line="288" w:before="240" w:after="283"/>
        <w:jc w:val="center"/>
        <w:rPr>
          <w:rFonts w:ascii="Times New Roman;serif" w:hAnsi="Times New Roman;serif"/>
          <w:b/>
          <w:color w:val="000000"/>
          <w:sz w:val="40"/>
        </w:rPr>
      </w:pPr>
      <w:r>
        <w:rPr>
          <w:rFonts w:ascii="Times New Roman;serif" w:hAnsi="Times New Roman;serif"/>
          <w:b/>
          <w:color w:val="000000"/>
          <w:sz w:val="40"/>
        </w:rPr>
        <w:t>ASCEND WELLNESS HOLDINGS, INC.</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83-0602006</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174 NJ-17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Rochelle Park, NJ 07662</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(646) 661-7600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None</w:t>
      </w:r>
    </w:p>
    <w:tbl>
      <w:tblPr>
        <w:tblW w:w="7552" w:type="dxa"/>
        <w:jc w:val="center"/>
        <w:tblInd w:w="0" w:type="dxa"/>
        <w:tblLayout w:type="fixed"/>
        <w:tblCellMar>
          <w:top w:w="28" w:type="dxa"/>
          <w:left w:w="28" w:type="dxa"/>
          <w:bottom w:w="28" w:type="dxa"/>
          <w:right w:w="28" w:type="dxa"/>
        </w:tblCellMar>
      </w:tblPr>
      <w:tblGrid>
        <w:gridCol w:w="570"/>
        <w:gridCol w:w="499"/>
        <w:gridCol w:w="505"/>
        <w:gridCol w:w="109"/>
        <w:gridCol w:w="109"/>
        <w:gridCol w:w="109"/>
        <w:gridCol w:w="539"/>
        <w:gridCol w:w="539"/>
        <w:gridCol w:w="541"/>
        <w:gridCol w:w="109"/>
        <w:gridCol w:w="109"/>
        <w:gridCol w:w="109"/>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720"/>
                        <w:jc w:val="both"/>
                        <w:rPr/>
                      </w:pPr>
                      <w:r>
                        <w:rPr/>
                      </w:r>
                    </w:p>
                  </w:txbxContent>
                </v:textbox>
                <w10:wrap type="none"/>
              </v:rect>
            </w:pict>
          </mc:Fallback>
        </mc:AlternateContent>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May 11, 2026, there were 202,973,284 shares of the registrant’s Class A common stock, par value $0.001,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720"/>
                        <w:jc w:val="both"/>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351" w:type="dxa"/>
        <w:jc w:val="left"/>
        <w:tblInd w:w="0" w:type="dxa"/>
        <w:tblLayout w:type="fixed"/>
        <w:tblCellMar>
          <w:top w:w="28" w:type="dxa"/>
          <w:left w:w="28" w:type="dxa"/>
          <w:bottom w:w="28" w:type="dxa"/>
          <w:right w:w="28" w:type="dxa"/>
        </w:tblCellMar>
      </w:tblPr>
      <w:tblGrid>
        <w:gridCol w:w="2891"/>
        <w:gridCol w:w="2542"/>
        <w:gridCol w:w="2546"/>
        <w:gridCol w:w="109"/>
        <w:gridCol w:w="109"/>
        <w:gridCol w:w="154"/>
      </w:tblGrid>
      <w:tr>
        <w:trPr/>
        <w:tc>
          <w:tcPr>
            <w:tcW w:w="2891"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7f103f7fc4488f91e0827e797416ff_10">
              <w:r>
                <w:rPr>
                  <w:rStyle w:val="InternetLink"/>
                  <w:rFonts w:ascii="Times New Roman;serif" w:hAnsi="Times New Roman;serif"/>
                  <w:b/>
                  <w:strike w:val="false"/>
                  <w:dstrike w:val="false"/>
                  <w:color w:val="000000"/>
                  <w:sz w:val="20"/>
                  <w:u w:val="none"/>
                  <w:effect w:val="none"/>
                </w:rPr>
                <w:t>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7f103f7fc4488f91e0827e797416ff_10">
              <w:r>
                <w:rPr>
                  <w:rStyle w:val="InternetLink"/>
                  <w:rFonts w:ascii="Times New Roman;serif" w:hAnsi="Times New Roman;serif"/>
                  <w:b w:val="false"/>
                  <w:color w:val="0000FF"/>
                  <w:sz w:val="20"/>
                  <w:u w:val="single"/>
                </w:rPr>
                <w:t>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7f103f7fc4488f91e0827e797416ff_13">
              <w:r>
                <w:rPr>
                  <w:rStyle w:val="InternetLink"/>
                  <w:rFonts w:ascii="Times New Roman;serif" w:hAnsi="Times New Roman;serif"/>
                  <w:b/>
                  <w:strike w:val="false"/>
                  <w:dstrike w:val="false"/>
                  <w:color w:val="000000"/>
                  <w:sz w:val="20"/>
                  <w:u w:val="none"/>
                  <w:effect w:val="none"/>
                </w:rPr>
                <w:t>PART I.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7f103f7fc4488f91e0827e797416ff_13">
              <w:r>
                <w:rPr>
                  <w:rStyle w:val="InternetLink"/>
                  <w:rFonts w:ascii="Times New Roman;serif" w:hAnsi="Times New Roman;serif"/>
                  <w:b w:val="false"/>
                  <w:color w:val="0000FF"/>
                  <w:sz w:val="20"/>
                  <w:u w:val="singl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7f103f7fc4488f91e0827e797416ff_16">
              <w:r>
                <w:rPr>
                  <w:rStyle w:val="InternetLink"/>
                  <w:rFonts w:ascii="Times New Roman;serif" w:hAnsi="Times New Roman;serif"/>
                  <w:b w:val="false"/>
                  <w:strike w:val="false"/>
                  <w:dstrike w:val="false"/>
                  <w:color w:val="000000"/>
                  <w:sz w:val="20"/>
                  <w:u w:val="none"/>
                  <w:effect w:val="none"/>
                </w:rPr>
                <w:t>Item 1. Condensed Consolidated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7f103f7fc4488f91e0827e797416ff_16">
              <w:r>
                <w:rPr>
                  <w:rStyle w:val="InternetLink"/>
                  <w:rFonts w:ascii="Times New Roman;serif" w:hAnsi="Times New Roman;serif"/>
                  <w:b w:val="false"/>
                  <w:color w:val="0000FF"/>
                  <w:sz w:val="20"/>
                  <w:u w:val="singl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7f103f7fc4488f91e0827e797416ff_100">
              <w:r>
                <w:rPr>
                  <w:rStyle w:val="InternetLink"/>
                  <w:rFonts w:ascii="Times New Roman;serif" w:hAnsi="Times New Roman;serif"/>
                  <w:b w:val="false"/>
                  <w:strike w:val="false"/>
                  <w:dstrike w:val="false"/>
                  <w:color w:val="000000"/>
                  <w:sz w:val="20"/>
                  <w:u w:val="none"/>
                  <w:effect w:val="non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7f103f7fc4488f91e0827e797416ff_100">
              <w:r>
                <w:rPr>
                  <w:rStyle w:val="InternetLink"/>
                  <w:rFonts w:ascii="Times New Roman;serif" w:hAnsi="Times New Roman;serif"/>
                  <w:b w:val="false"/>
                  <w:color w:val="0000FF"/>
                  <w:sz w:val="20"/>
                  <w:u w:val="single"/>
                </w:rPr>
                <w:t>40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7f103f7fc4488f91e0827e797416ff_133">
              <w:r>
                <w:rPr>
                  <w:rStyle w:val="InternetLink"/>
                  <w:rFonts w:ascii="Times New Roman;serif" w:hAnsi="Times New Roman;serif"/>
                  <w:b w:val="false"/>
                  <w:strike w:val="false"/>
                  <w:dstrike w:val="false"/>
                  <w:color w:val="000000"/>
                  <w:sz w:val="20"/>
                  <w:u w:val="none"/>
                  <w:effect w:val="non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7f103f7fc4488f91e0827e797416ff_133">
              <w:r>
                <w:rPr>
                  <w:rStyle w:val="InternetLink"/>
                  <w:rFonts w:ascii="Times New Roman;serif" w:hAnsi="Times New Roman;serif"/>
                  <w:b w:val="false"/>
                  <w:color w:val="0000FF"/>
                  <w:sz w:val="20"/>
                  <w:u w:val="single"/>
                </w:rPr>
                <w:t>56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7f103f7fc4488f91e0827e797416ff_136">
              <w:r>
                <w:rPr>
                  <w:rStyle w:val="InternetLink"/>
                  <w:rFonts w:ascii="Times New Roman;serif" w:hAnsi="Times New Roman;serif"/>
                  <w:b w:val="false"/>
                  <w:strike w:val="false"/>
                  <w:dstrike w:val="false"/>
                  <w:color w:val="000000"/>
                  <w:sz w:val="20"/>
                  <w:u w:val="none"/>
                  <w:effect w:val="non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7f103f7fc4488f91e0827e797416ff_136">
              <w:r>
                <w:rPr>
                  <w:rStyle w:val="InternetLink"/>
                  <w:rFonts w:ascii="Times New Roman;serif" w:hAnsi="Times New Roman;serif"/>
                  <w:b w:val="false"/>
                  <w:color w:val="0000FF"/>
                  <w:sz w:val="20"/>
                  <w:u w:val="single"/>
                </w:rPr>
                <w:t>57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7f103f7fc4488f91e0827e797416ff_139">
              <w:r>
                <w:rPr>
                  <w:rStyle w:val="InternetLink"/>
                  <w:rFonts w:ascii="Times New Roman;serif" w:hAnsi="Times New Roman;serif"/>
                  <w:b/>
                  <w:strike w:val="false"/>
                  <w:dstrike w:val="false"/>
                  <w:color w:val="000000"/>
                  <w:sz w:val="20"/>
                  <w:u w:val="none"/>
                  <w:effect w:val="none"/>
                </w:rPr>
                <w:t>PART II.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7f103f7fc4488f91e0827e797416ff_139">
              <w:r>
                <w:rPr>
                  <w:rStyle w:val="InternetLink"/>
                  <w:rFonts w:ascii="Times New Roman;serif" w:hAnsi="Times New Roman;serif"/>
                  <w:b w:val="false"/>
                  <w:color w:val="0000FF"/>
                  <w:sz w:val="20"/>
                  <w:u w:val="single"/>
                </w:rPr>
                <w:t>58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7f103f7fc4488f91e0827e797416ff_142">
              <w:r>
                <w:rPr>
                  <w:rStyle w:val="InternetLink"/>
                  <w:rFonts w:ascii="Times New Roman;serif" w:hAnsi="Times New Roman;serif"/>
                  <w:b w:val="false"/>
                  <w:strike w:val="false"/>
                  <w:dstrike w:val="false"/>
                  <w:color w:val="000000"/>
                  <w:sz w:val="20"/>
                  <w:u w:val="none"/>
                  <w:effect w:val="non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7f103f7fc4488f91e0827e797416ff_142">
              <w:r>
                <w:rPr>
                  <w:rStyle w:val="InternetLink"/>
                  <w:rFonts w:ascii="Times New Roman;serif" w:hAnsi="Times New Roman;serif"/>
                  <w:b w:val="false"/>
                  <w:color w:val="0000FF"/>
                  <w:sz w:val="20"/>
                  <w:u w:val="single"/>
                </w:rPr>
                <w:t>58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7f103f7fc4488f91e0827e797416ff_145">
              <w:r>
                <w:rPr>
                  <w:rStyle w:val="InternetLink"/>
                  <w:rFonts w:ascii="Times New Roman;serif" w:hAnsi="Times New Roman;serif"/>
                  <w:b w:val="false"/>
                  <w:strike w:val="false"/>
                  <w:dstrike w:val="false"/>
                  <w:color w:val="000000"/>
                  <w:sz w:val="20"/>
                  <w:u w:val="none"/>
                  <w:effect w:val="non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7f103f7fc4488f91e0827e797416ff_145">
              <w:r>
                <w:rPr>
                  <w:rStyle w:val="InternetLink"/>
                  <w:rFonts w:ascii="Times New Roman;serif" w:hAnsi="Times New Roman;serif"/>
                  <w:b w:val="false"/>
                  <w:color w:val="0000FF"/>
                  <w:sz w:val="20"/>
                  <w:u w:val="single"/>
                </w:rPr>
                <w:t>58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7f103f7fc4488f91e0827e797416ff_148">
              <w:r>
                <w:rPr>
                  <w:rStyle w:val="InternetLink"/>
                  <w:rFonts w:ascii="Times New Roman;serif" w:hAnsi="Times New Roman;serif"/>
                  <w:b w:val="false"/>
                  <w:strike w:val="false"/>
                  <w:dstrike w:val="false"/>
                  <w:color w:val="000000"/>
                  <w:sz w:val="20"/>
                  <w:u w:val="none"/>
                  <w:effect w:val="non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7f103f7fc4488f91e0827e797416ff_148">
              <w:r>
                <w:rPr>
                  <w:rStyle w:val="InternetLink"/>
                  <w:rFonts w:ascii="Times New Roman;serif" w:hAnsi="Times New Roman;serif"/>
                  <w:b w:val="false"/>
                  <w:color w:val="0000FF"/>
                  <w:sz w:val="20"/>
                  <w:u w:val="single"/>
                </w:rPr>
                <w:t>58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7f103f7fc4488f91e0827e797416ff_151">
              <w:r>
                <w:rPr>
                  <w:rStyle w:val="InternetLink"/>
                  <w:rFonts w:ascii="Times New Roman;serif" w:hAnsi="Times New Roman;serif"/>
                  <w:b w:val="false"/>
                  <w:strike w:val="false"/>
                  <w:dstrike w:val="false"/>
                  <w:color w:val="000000"/>
                  <w:sz w:val="20"/>
                  <w:u w:val="none"/>
                  <w:effect w:val="none"/>
                </w:rPr>
                <w:t>Item 3. 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7f103f7fc4488f91e0827e797416ff_151">
              <w:r>
                <w:rPr>
                  <w:rStyle w:val="InternetLink"/>
                  <w:rFonts w:ascii="Times New Roman;serif" w:hAnsi="Times New Roman;serif"/>
                  <w:b w:val="false"/>
                  <w:color w:val="0000FF"/>
                  <w:sz w:val="20"/>
                  <w:u w:val="single"/>
                </w:rPr>
                <w:t>58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7f103f7fc4488f91e0827e797416ff_154">
              <w:r>
                <w:rPr>
                  <w:rStyle w:val="InternetLink"/>
                  <w:rFonts w:ascii="Times New Roman;serif" w:hAnsi="Times New Roman;serif"/>
                  <w:b w:val="false"/>
                  <w:strike w:val="false"/>
                  <w:dstrike w:val="false"/>
                  <w:color w:val="000000"/>
                  <w:sz w:val="20"/>
                  <w:u w:val="none"/>
                  <w:effect w:val="none"/>
                </w:rPr>
                <w:t>Item 4. 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7f103f7fc4488f91e0827e797416ff_154">
              <w:r>
                <w:rPr>
                  <w:rStyle w:val="InternetLink"/>
                  <w:rFonts w:ascii="Times New Roman;serif" w:hAnsi="Times New Roman;serif"/>
                  <w:b w:val="false"/>
                  <w:color w:val="0000FF"/>
                  <w:sz w:val="20"/>
                  <w:u w:val="single"/>
                </w:rPr>
                <w:t>58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7f103f7fc4488f91e0827e797416ff_157">
              <w:r>
                <w:rPr>
                  <w:rStyle w:val="InternetLink"/>
                  <w:rFonts w:ascii="Times New Roman;serif" w:hAnsi="Times New Roman;serif"/>
                  <w:b w:val="false"/>
                  <w:strike w:val="false"/>
                  <w:dstrike w:val="false"/>
                  <w:color w:val="000000"/>
                  <w:sz w:val="20"/>
                  <w:u w:val="none"/>
                  <w:effect w:val="non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7f103f7fc4488f91e0827e797416ff_157">
              <w:r>
                <w:rPr>
                  <w:rStyle w:val="InternetLink"/>
                  <w:rFonts w:ascii="Times New Roman;serif" w:hAnsi="Times New Roman;serif"/>
                  <w:b w:val="false"/>
                  <w:color w:val="0000FF"/>
                  <w:sz w:val="20"/>
                  <w:u w:val="single"/>
                </w:rPr>
                <w:t>59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7f103f7fc4488f91e0827e797416ff_160">
              <w:r>
                <w:rPr>
                  <w:rStyle w:val="InternetLink"/>
                  <w:rFonts w:ascii="Times New Roman;serif" w:hAnsi="Times New Roman;serif"/>
                  <w:b w:val="false"/>
                  <w:strike w:val="false"/>
                  <w:dstrike w:val="false"/>
                  <w:color w:val="000000"/>
                  <w:sz w:val="20"/>
                  <w:u w:val="none"/>
                  <w:effect w:val="non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7f103f7fc4488f91e0827e797416ff_160">
              <w:r>
                <w:rPr>
                  <w:rStyle w:val="InternetLink"/>
                  <w:rFonts w:ascii="Times New Roman;serif" w:hAnsi="Times New Roman;serif"/>
                  <w:b w:val="false"/>
                  <w:color w:val="0000FF"/>
                  <w:sz w:val="20"/>
                  <w:u w:val="single"/>
                </w:rPr>
                <w:t>60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7f103f7fc4488f91e0827e797416ff_163">
              <w:r>
                <w:rPr>
                  <w:rStyle w:val="InternetLink"/>
                  <w:rFonts w:ascii="Times New Roman;serif" w:hAnsi="Times New Roman;serif"/>
                  <w:b/>
                  <w:strike w:val="false"/>
                  <w:dstrike w:val="false"/>
                  <w:color w:val="000000"/>
                  <w:sz w:val="20"/>
                  <w:u w:val="none"/>
                  <w:effect w:val="non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7f103f7fc4488f91e0827e797416ff_163">
              <w:r>
                <w:rPr>
                  <w:rStyle w:val="InternetLink"/>
                  <w:rFonts w:ascii="Times New Roman;serif" w:hAnsi="Times New Roman;serif"/>
                  <w:b w:val="false"/>
                  <w:color w:val="0000FF"/>
                  <w:sz w:val="20"/>
                  <w:u w:val="single"/>
                </w:rPr>
                <w:t>62</w:t>
              </w:r>
            </w:hyperlink>
          </w:p>
        </w:tc>
      </w:tr>
    </w:tbl>
    <w:p>
      <w:pPr>
        <w:pStyle w:val="TextBody"/>
        <w:bidi w:val="0"/>
        <w:spacing w:before="0" w:after="180"/>
        <w:ind w:left="0" w:right="0" w:firstLine="720"/>
        <w:jc w:val="right"/>
        <w:rPr/>
      </w:pPr>
      <w:r>
        <w:rPr/>
      </w:r>
    </w:p>
    <w:p>
      <w:pPr>
        <w:pStyle w:val="TextBody"/>
        <w:bidi w:val="0"/>
        <w:spacing w:before="0" w:after="180"/>
        <w:ind w:left="0" w:right="0" w:firstLine="72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720"/>
                        <w:jc w:val="both"/>
                        <w:rPr/>
                      </w:pPr>
                      <w:r>
                        <w:rPr/>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for Ascend Wellness Holdings, Inc. and its subsidiaries (collectively referred to as “AWH,” “Ascend,” “we,” “us,” “our,” or the “Company”) contains both historical and forward-looking statements, within the meaning of the Private Securities Litigation Reform Act of 1995, and forward-looking information, within the meaning of applicable Canadian securities laws (collectively, “forward-looking statements”), that involve risks and uncertainties. We make forward-looking statements related to future expectations, estimates, and projections that are uncertain and often contain words such as, but not limited to, “anticipate,” “believe,” “could,” “estimate,” “expect,” “forecast,” “intend,” “likely,” “may,” “outlook,” “plan,” “potential,”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the volatility of the market price and liquidity risks on shares of our Class A common stock;</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risks related to our capital structure;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ability to attract and maintain key personnel;</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related to our ability to expand our operations, including opening new dispensaries, cultivation and processing facilities, and integrating acquisitions;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illegality of cannabis under federal law;</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impact of, and uncertainties relating to, federal cannabis rescheduling, including the pending administrative hearing concerning broader rescheduling;</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ability to comply with state and federal regulations;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uncertainty regarding enforcement of cannabis laws;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related to compliance with complex and evolving state and local cannabis regulations, including licensing, renewals, and enforcement;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constraints on marketing and risks related to our products;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unfavorable tax treatment for cannabis businesses;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proposed legislation on our tax liabilities and financial performance;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infringement or misappropriation claims by third parties;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ability to comply with potential future U.S. Food and Drug Administration (the “FDA”) regulations;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ability to enforce our contracts;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unfavorable publicity or consumer perception;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related to acquisitions, dispositions, and other strategic transactions, including the failure to realize anticipated benefits;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agricultural and environmental risks;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climate change;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related to cybersecurity, data privacy, information technology systems, and reliance on third-party service providers;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unknown health impacts associated with the use of cannabis and cannabis derivative products;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related to litigation, regulatory investigations, and enforcement actions;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risks related to the results of future clinical research;</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intense competition in the industry;</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the maturation of the cannabis market;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adverse changes in wholesale and retail prices;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related to challenging or volatile global economic, political, or financial conditions, including inflation, interest rates, supply chain disruptions, and reduced consumer spending.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list of factors above is illustrative and by no means exhaustive. Additional information regarding these risks and other risks and uncertainties we face is contained in our Annual Report on Form 10-K for the year ended December 31, 2025 and in other reports we may file from time to time with the United States Securities and Exchange Commission and the applicable Canadian securities regulatory authorities (including all amendments to those reports). Although the Company has attempted to identify important factors that could cause actual results to differ materially from those contained in forward-looking statements, there may be other factors that cause results not to be as anticipated, estimated, or intended.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 The forward-looking statements contained in this Form 10-Q are expressly qualified in their entirety by this cautionary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78"/>
        <w:gridCol w:w="2198"/>
        <w:gridCol w:w="2209"/>
        <w:gridCol w:w="218"/>
        <w:gridCol w:w="821"/>
        <w:gridCol w:w="121"/>
        <w:gridCol w:w="109"/>
        <w:gridCol w:w="109"/>
        <w:gridCol w:w="109"/>
        <w:gridCol w:w="239"/>
        <w:gridCol w:w="901"/>
        <w:gridCol w:w="193"/>
      </w:tblGrid>
      <w:tr>
        <w:trPr/>
        <w:tc>
          <w:tcPr>
            <w:tcW w:w="2978"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u w:val="single"/>
              </w:rPr>
            </w:pPr>
            <w:r>
              <w:rPr>
                <w:rFonts w:ascii="Times New Roman;serif" w:hAnsi="Times New Roman;serif"/>
                <w:b w:val="false"/>
                <w:i/>
                <w:color w:val="000000"/>
                <w:sz w:val="14"/>
                <w:u w:val="single"/>
              </w:rPr>
              <w:t>(in thousands, except per share amounts)</w:t>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85,676 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84,707 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188,964 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208,949 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376,601 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382,402 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47,063 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196,072 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58,453 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872,092 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907,929 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Deficit</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84,793 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debt, net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lease liabilities, current </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Finance lease and other lease liabilities, current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88,458 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109,009 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292,309 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291,104 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60,546 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Finance lease and other lease financing liabilities, non-current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261,913 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210,459 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947,859 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954,546 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15)</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Deficit</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per share; 10,000 shares authorized, none issued and outstanding at March 31, 2026 and December 31, 2025</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Times New Roman;serif" w:hAnsi="Times New Roman;serif"/>
                <w:b w:val="false"/>
                <w:color w:val="000000"/>
                <w:sz w:val="18"/>
              </w:rPr>
            </w:pPr>
            <w:r>
              <w:rPr>
                <w:rFonts w:ascii="Times New Roman;serif" w:hAnsi="Times New Roman;serif"/>
                <w:b w:val="false"/>
                <w:color w:val="000000"/>
                <w:sz w:val="18"/>
              </w:rPr>
              <w:t>Class A common stock, $0.001 par value per share; 750,000 shares authorized; 202,760 and 202,152 shares issued and outstanding at March 31, 2026 and December 31, 2025, respectively</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Times New Roman;serif" w:hAnsi="Times New Roman;serif"/>
                <w:b w:val="false"/>
                <w:color w:val="000000"/>
                <w:sz w:val="18"/>
              </w:rPr>
            </w:pPr>
            <w:r>
              <w:rPr>
                <w:rFonts w:ascii="Times New Roman;serif" w:hAnsi="Times New Roman;serif"/>
                <w:b w:val="false"/>
                <w:color w:val="000000"/>
                <w:sz w:val="18"/>
              </w:rPr>
              <w:t>Class B common stock, $0.001 par value per share, 100 shares authorized; 65 shares issued and outstanding at March 31, 2026 and December 31, 2025, respectively</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471,249 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470,907 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(548,042)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(518,549)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Deficit of Ascend Wellness Holdings, Inc. common stockholders</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(76,590)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(47,440)</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deficit</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(75,767)</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(46,617)</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DEFICIT</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872,092 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907,929 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03225"/>
                <wp:effectExtent l="0" t="0" r="0" b="0"/>
                <wp:wrapNone/>
                <wp:docPr id="7" name="Frame6"/>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665"/>
        <w:gridCol w:w="2320"/>
        <w:gridCol w:w="2329"/>
        <w:gridCol w:w="196"/>
        <w:gridCol w:w="736"/>
        <w:gridCol w:w="109"/>
        <w:gridCol w:w="109"/>
        <w:gridCol w:w="109"/>
        <w:gridCol w:w="109"/>
        <w:gridCol w:w="196"/>
        <w:gridCol w:w="736"/>
        <w:gridCol w:w="109"/>
        <w:gridCol w:w="109"/>
        <w:gridCol w:w="109"/>
        <w:gridCol w:w="109"/>
        <w:gridCol w:w="155"/>
      </w:tblGrid>
      <w:tr>
        <w:trPr/>
        <w:tc>
          <w:tcPr>
            <w:tcW w:w="2665"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7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u w:val="single"/>
              </w:rPr>
            </w:pPr>
            <w:r>
              <w:rPr>
                <w:rFonts w:ascii="Times New Roman;serif" w:hAnsi="Times New Roman;serif"/>
                <w:b w:val="false"/>
                <w:i/>
                <w:color w:val="000000"/>
                <w:sz w:val="14"/>
                <w:u w:val="single"/>
              </w:rPr>
              <w:t>(in thousands, except per share amounts)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profit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Other (expense) income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Net loss per share attributable to Class A and Class B common stockholders — basic and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common shares outstanding — basic and 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03225"/>
                <wp:effectExtent l="0" t="0" r="0" b="0"/>
                <wp:wrapNone/>
                <wp:docPr id="8" name="Frame7"/>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CHANGES IN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STOCKHOLDERS’ EQUITY (DEFICIT) (UNAUDITED)</w:t>
      </w:r>
    </w:p>
    <w:tbl>
      <w:tblPr>
        <w:tblW w:w="10205" w:type="dxa"/>
        <w:jc w:val="left"/>
        <w:tblInd w:w="0" w:type="dxa"/>
        <w:tblLayout w:type="fixed"/>
        <w:tblCellMar>
          <w:top w:w="28" w:type="dxa"/>
          <w:left w:w="28" w:type="dxa"/>
          <w:bottom w:w="28" w:type="dxa"/>
          <w:right w:w="28" w:type="dxa"/>
        </w:tblCellMar>
      </w:tblPr>
      <w:tblGrid>
        <w:gridCol w:w="615"/>
        <w:gridCol w:w="331"/>
        <w:gridCol w:w="332"/>
        <w:gridCol w:w="368"/>
        <w:gridCol w:w="368"/>
        <w:gridCol w:w="196"/>
        <w:gridCol w:w="109"/>
        <w:gridCol w:w="109"/>
        <w:gridCol w:w="109"/>
        <w:gridCol w:w="197"/>
        <w:gridCol w:w="424"/>
        <w:gridCol w:w="109"/>
        <w:gridCol w:w="109"/>
        <w:gridCol w:w="109"/>
        <w:gridCol w:w="109"/>
        <w:gridCol w:w="207"/>
        <w:gridCol w:w="780"/>
        <w:gridCol w:w="115"/>
        <w:gridCol w:w="111"/>
        <w:gridCol w:w="111"/>
        <w:gridCol w:w="111"/>
        <w:gridCol w:w="201"/>
        <w:gridCol w:w="775"/>
        <w:gridCol w:w="111"/>
        <w:gridCol w:w="111"/>
        <w:gridCol w:w="111"/>
        <w:gridCol w:w="111"/>
        <w:gridCol w:w="264"/>
        <w:gridCol w:w="750"/>
        <w:gridCol w:w="112"/>
        <w:gridCol w:w="109"/>
        <w:gridCol w:w="109"/>
        <w:gridCol w:w="109"/>
        <w:gridCol w:w="255"/>
        <w:gridCol w:w="548"/>
        <w:gridCol w:w="143"/>
        <w:gridCol w:w="109"/>
        <w:gridCol w:w="109"/>
        <w:gridCol w:w="109"/>
        <w:gridCol w:w="196"/>
        <w:gridCol w:w="664"/>
        <w:gridCol w:w="170"/>
      </w:tblGrid>
      <w:tr>
        <w:trPr/>
        <w:tc>
          <w:tcPr>
            <w:tcW w:w="61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March 31, 2026</w:t>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Class A and Class B </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Attributable to Ascend Wellness Holdings, Inc. Common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Accumulated Deficit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Stockholders’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Non-</w:t>
              <w:br/>
              <w:t>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December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202,217 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470,907 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(518,549)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(47,440)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(46,617)</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Vesting of equity-based payment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Taxes withheld under equity-based compensation plans,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Equity-based compensation expense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450 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Exercise of stock options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(29,493)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(29,493)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(29,493)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March 31, 2026</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202,825 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471,249 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(548,042)</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(76,590)</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823 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(75,767)</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19"/>
        <w:gridCol w:w="334"/>
        <w:gridCol w:w="336"/>
        <w:gridCol w:w="368"/>
        <w:gridCol w:w="368"/>
        <w:gridCol w:w="196"/>
        <w:gridCol w:w="109"/>
        <w:gridCol w:w="109"/>
        <w:gridCol w:w="109"/>
        <w:gridCol w:w="197"/>
        <w:gridCol w:w="424"/>
        <w:gridCol w:w="109"/>
        <w:gridCol w:w="109"/>
        <w:gridCol w:w="109"/>
        <w:gridCol w:w="109"/>
        <w:gridCol w:w="208"/>
        <w:gridCol w:w="782"/>
        <w:gridCol w:w="115"/>
        <w:gridCol w:w="111"/>
        <w:gridCol w:w="111"/>
        <w:gridCol w:w="111"/>
        <w:gridCol w:w="201"/>
        <w:gridCol w:w="776"/>
        <w:gridCol w:w="111"/>
        <w:gridCol w:w="111"/>
        <w:gridCol w:w="111"/>
        <w:gridCol w:w="111"/>
        <w:gridCol w:w="272"/>
        <w:gridCol w:w="744"/>
        <w:gridCol w:w="114"/>
        <w:gridCol w:w="109"/>
        <w:gridCol w:w="109"/>
        <w:gridCol w:w="109"/>
        <w:gridCol w:w="255"/>
        <w:gridCol w:w="548"/>
        <w:gridCol w:w="143"/>
        <w:gridCol w:w="109"/>
        <w:gridCol w:w="109"/>
        <w:gridCol w:w="109"/>
        <w:gridCol w:w="196"/>
        <w:gridCol w:w="646"/>
        <w:gridCol w:w="169"/>
      </w:tblGrid>
      <w:tr>
        <w:trPr/>
        <w:tc>
          <w:tcPr>
            <w:tcW w:w="61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March 31, 2025</w:t>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Class A and Class B </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Attributable to Ascend Wellness Holdings, Inc. Common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Accumulated Deficit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Non-</w:t>
              <w:br/>
              <w:t>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December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205,026 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471,129 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(400,356)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70,978 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71,801 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Vesting of equity-based payment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Equity-based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628 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Taxes withheld under equity-based compensation plans,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 of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(345)</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(19,258)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(19,258)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(19,258)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March 31, 2025</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205,226 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471,285 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(419,614)</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51,876 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823 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52,699 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03225"/>
                <wp:effectExtent l="0" t="0" r="0" b="0"/>
                <wp:wrapNone/>
                <wp:docPr id="9" name="Frame8"/>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9188" w:type="dxa"/>
        <w:jc w:val="left"/>
        <w:tblInd w:w="0" w:type="dxa"/>
        <w:tblLayout w:type="fixed"/>
        <w:tblCellMar>
          <w:top w:w="28" w:type="dxa"/>
          <w:left w:w="28" w:type="dxa"/>
          <w:bottom w:w="28" w:type="dxa"/>
          <w:right w:w="28" w:type="dxa"/>
        </w:tblCellMar>
      </w:tblPr>
      <w:tblGrid>
        <w:gridCol w:w="2444"/>
        <w:gridCol w:w="2149"/>
        <w:gridCol w:w="2156"/>
        <w:gridCol w:w="196"/>
        <w:gridCol w:w="721"/>
        <w:gridCol w:w="109"/>
        <w:gridCol w:w="109"/>
        <w:gridCol w:w="109"/>
        <w:gridCol w:w="109"/>
        <w:gridCol w:w="196"/>
        <w:gridCol w:w="736"/>
        <w:gridCol w:w="154"/>
      </w:tblGrid>
      <w:tr>
        <w:trPr/>
        <w:tc>
          <w:tcPr>
            <w:tcW w:w="2444"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r>
      <w:tr>
        <w:trPr/>
        <w:tc>
          <w:tcPr>
            <w:tcW w:w="6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Adjustments to reconcile net loss to net cash (used in) provided by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operating lease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sale of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effects of acquisitions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cash (used in) provided by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capital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Collection of notes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acquisition of businesses and related deposits, net of cash acquired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intangible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debt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debt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finance leases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withheld under equity-based compensation plans,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the exercise of stock options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cash (used in) provided by financing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cash equivalents, and restricted cash</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beginning of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720"/>
        <w:jc w:val="both"/>
        <w:rPr/>
      </w:pPr>
      <w:r>
        <w:rPr/>
      </w:r>
    </w:p>
    <w:p>
      <w:pPr>
        <w:pStyle w:val="TextBody"/>
        <w:bidi w:val="0"/>
        <w:spacing w:before="0" w:after="180"/>
        <w:ind w:left="0" w:right="0" w:firstLine="720"/>
        <w:jc w:val="both"/>
        <w:rPr/>
      </w:pPr>
      <w:r>
        <w:rPr/>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03225"/>
                <wp:effectExtent l="0" t="0" r="0" b="0"/>
                <wp:wrapNone/>
                <wp:docPr id="10" name="Frame9"/>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(CONTINUED, UNAUDITED)</w:t>
      </w:r>
    </w:p>
    <w:p>
      <w:pPr>
        <w:pStyle w:val="TextBody"/>
        <w:bidi w:val="0"/>
        <w:spacing w:before="0" w:after="0"/>
        <w:jc w:val="center"/>
        <w:rPr/>
      </w:pPr>
      <w:r>
        <w:rPr/>
      </w:r>
    </w:p>
    <w:tbl>
      <w:tblPr>
        <w:tblW w:w="6609" w:type="dxa"/>
        <w:jc w:val="left"/>
        <w:tblInd w:w="0" w:type="dxa"/>
        <w:tblLayout w:type="fixed"/>
        <w:tblCellMar>
          <w:top w:w="28" w:type="dxa"/>
          <w:left w:w="28" w:type="dxa"/>
          <w:bottom w:w="28" w:type="dxa"/>
          <w:right w:w="28" w:type="dxa"/>
        </w:tblCellMar>
      </w:tblPr>
      <w:tblGrid>
        <w:gridCol w:w="1565"/>
        <w:gridCol w:w="1378"/>
        <w:gridCol w:w="1392"/>
        <w:gridCol w:w="196"/>
        <w:gridCol w:w="646"/>
        <w:gridCol w:w="109"/>
        <w:gridCol w:w="109"/>
        <w:gridCol w:w="109"/>
        <w:gridCol w:w="109"/>
        <w:gridCol w:w="196"/>
        <w:gridCol w:w="646"/>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u w:val="single"/>
              </w:rPr>
            </w:pPr>
            <w:r>
              <w:rPr>
                <w:rFonts w:ascii="Times New Roman;serif" w:hAnsi="Times New Roman;serif"/>
                <w:b w:val="false"/>
                <w:i/>
                <w:color w:val="000000"/>
                <w:sz w:val="14"/>
                <w:u w:val="single"/>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Income tax (refunds) payments, net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investing and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incurred but not yet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withheld under equity-based compensation plans,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consideration of intangible assets acquired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costs incurred but not yet paid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03225"/>
                <wp:effectExtent l="0" t="0" r="0" b="0"/>
                <wp:wrapNone/>
                <wp:docPr id="11" name="Frame10"/>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jc w:val="left"/>
        <w:rPr>
          <w:rFonts w:ascii="Times New Roman;serif" w:hAnsi="Times New Roman;serif"/>
          <w:b/>
          <w:color w:val="000000"/>
          <w:sz w:val="20"/>
        </w:rPr>
      </w:pPr>
      <w:r>
        <w:rPr>
          <w:rFonts w:ascii="Times New Roman;serif" w:hAnsi="Times New Roman;serif"/>
          <w:b/>
          <w:color w:val="000000"/>
          <w:sz w:val="20"/>
        </w:rPr>
        <w:t>1. THE COMPANY AND NATURE OF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Ascend Wellness Holdings, Inc., which operates through its subsidiaries (collectively referred to as “AWH,” “Ascend,” “we,” “us,” “our,” or the “Company”), is a vertically integrated multi-state operator in the United States cannabis industry. AWH owns, manages, and operates cannabis cultivation facilities and dispensaries in several states across the United States, including Illinois, Maryland, Massachusetts, Michigan, New Jersey, Ohio, and Pennsylvania. Our core business is the cultivation, manufacturing, and distribution of cannabis consumer packaged goods, which are sold through company-owned retail stores and to third-party licensed retail locations. Additionally, the Company has contractual relationships with certain third-party license holders, which we refer to as “retail partner locations.” AWH is headquartered in Rochelle Park, New Jersey.</w:t>
      </w:r>
    </w:p>
    <w:p>
      <w:pPr>
        <w:pStyle w:val="TextBody"/>
        <w:bidi w:val="0"/>
        <w:spacing w:lineRule="auto" w:line="288" w:before="0" w:after="180"/>
        <w:ind w:left="0" w:right="0" w:firstLine="720"/>
        <w:jc w:val="both"/>
        <w:rPr/>
      </w:pPr>
      <w:r>
        <w:rPr>
          <w:rFonts w:ascii="Times New Roman;serif" w:hAnsi="Times New Roman;serif"/>
          <w:b w:val="false"/>
          <w:color w:val="000000"/>
          <w:sz w:val="20"/>
        </w:rPr>
        <w:t>Shares of the Company’s Class A common stock are listed on the Canadian Securities Exchange (the “CSE”) under the ticker symbol “AAWH.U” and are quoted on the OTCQX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Best Market (the “OTCQX”) under the symbol “AAWH.”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2. BASIS OF PRESENTATION AND SIGNIFICANT ACCOUNTING POLICIES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Basis of Presentation and Principles of Consolidation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interim financial statements have been prepared in accordance with (i) United States generally accepted accounting principles (“U.S. GAAP”) for interim financial information, and (ii) the instructions to Form 10-Q and Article 10 of Regulation S-X. In the opinion of our management, our unaudited condensed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or any other period. The Financial Statements should be read in conjunction with our audited consolidated financial statements (and notes thereto) in our Annual Report on Form 10-K for the year ended December 31, 2025 (the “Annual Report”), as filed with the United States Securities and Exchange Commission (“SEC”) and with the relevant Canadian securities regulatory authorities under its profile on the System for Electronic Document Analysis and Retrieval Plus (“SEDAR+”). Except as noted below, there have been no material changes to the Company’s significant accounting policies and estimates during the three months ended March 31,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Statements include the accounts of Ascend Wellness Holdings, Inc. and its subsidiaries. Refer to Note 8, “Variable Interest Entities,” for additional information regarding certain entities that are not wholly-owned by the Company. We include the results of acquired businesses in the consolidated statements of operations from their respective acquisition dates. All intercompany accounts and transactions have been eliminated in consolidation.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round amounts in the Financial Statements to thousands, except per share amounts or as otherwise stated. We calculate all percentages, per-unit, and per-share data from the underlying whole-dollar amounts. Thus, certain amounts may not foot, crossfoot, or recalculate based on reported numbers due to rounding. The Financial Statements are expressed in U.S. dollars, which is the Company’s functional currency. Unless otherwise indicated, all references to years are to our fiscal year, which ends on December 31.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an emerging growth company under federal securities laws and as such we are able to elect to follow scaled disclosure requirements for this filing and can delay adopting new or revised accounting standards until such time as those standards apply to private companies.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accordance with U.S. GAAP requires management to make estimates and assumptions that affect the reported amounts. We base our estimates on historical experience, known or expected trends, independent valuations, and various other measurements that we believe to be reasonable under the circumstances. As future events and their effects cannot be determined with precision, actual results could differ significantly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generated recurring losses that have resulted in an accumulated deficit as of March 31, 2026 and December 31, 2025. As of March 31, 2026, we had cash and cash equivalents of $60,920, which, combined with anticipated cash flows from operating activities, management believes is more than adequate to support operations for the next twelve months from the date of issuance of these Financial Statements. Management may continue to access capital markets for additional funding through debt and/or equity financings to supplement future cash needs, as may be required. However, management cannot provide any assurances that the Company will be successful in accomplishing its business plans. If the Company is unable to raise additional capital whenever necessary, it may be forced to decelerate or curtail certain of its operations until such time as additional capital becomes available.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Cash and Cash Equivalents and Restricted Cash</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we did not hold significant restricted cash or cash equivalents.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Fair Value of Financial Instruments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we had no transfers of assets or liabilities between any of the hierarchy levels.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assets and liabilities that are measured at fair value on a recurring basis, we are also required to measure certain assets at fair value on a non-recurring basis that are subject to fair value adjustments, as may be applicable, in specific circumstances. These assets can include: goodwill; intangible assets; property and equipment; and lease-related right-of-use (“ROU”) assets. We estimate the fair value of these assets using primarily unobservable Level 3 inputs. No impairment indicators were noted on such assets during the three months ended March 31, 2026 and 2025.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Basic and Diluted Loss per Share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computes earnings (loss) per share (“EPS”) using the two-class method required for multiple classes of common stock. The rights, including the liquidation and dividend rights, of the Class A common stock and Class B common stock are substantially identical, except for voting and conversion rights. As the liquidation and dividend rights are identical, undistributed earnings are allocated on a proportionate basis to each class of common stock and the resulting basic and diluted net loss per share attributable to common stockholders are, therefore, the same for both Class A and Class B common stock on both an individual and combined basis. As described in Note 12, “Stockholders’ Equity,” all outstanding shares of Class B common stock automatically converted into shares of Class A common stock on a one-for-one basis on May 4, 2026. As a result, commencing in the second quarter of 2026, the Company will have a single class of common stock outstanding.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Basic EPS is computed by dividing net income or loss by the weighted-average number of common shares outstanding during the period. Diluted EPS reflects potential dilution and is computed by dividing net income or loss by the weighted-average number of common shares outstanding during the period increased by the number of additional common shares that would have been outstanding if all potential common shares had been issued and were dilutive. However, potentially dilutive securities are excluded from the computation of diluted EPS to the extent that their effect is anti-dilutive. Potential dilutive securities include incremental shares of common stock issuable upon the exercise of warrants, unvested restricted stock awards, unvested restricted stock units, and outstanding stock options, as applicable. At March 31, 2026 and 2025, 15,556 and 10,926 shares of common stock equivalents, respectively, were excluded from the calculation of diluted EPS because their inclusion would have been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Shares of restricted stock granted by us are considered to be legally issued and outstanding as of the date of grant, notwithstanding that the shares remain subject to the risk of forfeiture if the vesting conditions for such shares are not met, and are included in the number of shares of Class A common stock outstanding, as applicable. Weighted-average common shares outstanding excludes time-based and performance-based unvested shares of restricted Class A common stock, as restricted shares are treated as issued and outstanding for financial statement presentation purposes only after such shares have vested and, therefore, have ceased to be subject to a risk of forfeiture.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Recently Adopted Accounting Standards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standards have been recently adopted by the Company. Recently effective standards that are not applicable to the Company or where it has been determined do not have a significant impact on us have been excluded herein.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Financial Instruments – Credit Losses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In July 2025, the Financial Accounting Standards Board (“FASB”) issued ASU 2025-05, </w:t>
      </w:r>
      <w:r>
        <w:rPr>
          <w:rFonts w:ascii="Times New Roman;serif" w:hAnsi="Times New Roman;serif"/>
          <w:b w:val="false"/>
          <w:i/>
          <w:color w:val="000000"/>
          <w:sz w:val="20"/>
        </w:rPr>
        <w:t>Financial Instruments–Credit Losses (Topic 326): Measurement of Credit Losses for Accounts Receivable and Contract Assets</w:t>
      </w:r>
      <w:r>
        <w:rPr>
          <w:rFonts w:ascii="Times New Roman;serif" w:hAnsi="Times New Roman;serif"/>
          <w:b w:val="false"/>
          <w:color w:val="000000"/>
          <w:sz w:val="20"/>
        </w:rPr>
        <w:t>. This update</w:t>
      </w:r>
      <w:r>
        <w:rPr>
          <w:color w:val="000000"/>
        </w:rPr>
        <w:t xml:space="preserve"> </w:t>
      </w:r>
      <w:r>
        <w:rPr>
          <w:rFonts w:ascii="Times New Roman;serif" w:hAnsi="Times New Roman;serif"/>
          <w:b w:val="false"/>
          <w:color w:val="000000"/>
          <w:sz w:val="20"/>
        </w:rPr>
        <w:t>provides all entities with a practical expedient to assume that current conditions as of the balance sheet date do not change for the remaining life of the assets when estimating expected credit losses for current accounts receivable and current contract assets arising from transactions accounted for under ASC 606. This guidance is effective for annual reporting periods beginning after December 15, 2025, and interim reporting periods within those annual reporting periods, with early adoption permitted. We adopted this guidance prospectively on January 1, 2026, and the adoption did not have a material impact on the consolidated financial statements or related disclosures.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standards have been recently issued by the FASB. Pronouncements that are not applicable to the Company or where it has been determined do not have a significant impact on us have been excluded herein.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Disaggregation of Income Statement Expenses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Disaggregation of Income Statement Expenses (Subtopic 220-40), </w:t>
      </w:r>
      <w:r>
        <w:rPr>
          <w:rFonts w:ascii="Times New Roman;serif" w:hAnsi="Times New Roman;serif"/>
          <w:b w:val="false"/>
          <w:color w:val="000000"/>
          <w:sz w:val="20"/>
        </w:rPr>
        <w:t>which was further clarified through ASU 2025-01 issued in January 2025. This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This ASU is effective for annual periods beginning after December 15, 2026 and interim periods within fiscal years beginning after December 15, 2027. The provisions of this ASU are required to be applied prospectively; however, they may be applied retrospectively to any comparative periods presented in the consolidated financial statements following the effective date. Early adoption is permitted. We are currently evaluating the impact of this update on our disclosures in the consolidated financial statements.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Business Combinations and Consolidation</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In May 2025, the FASB issued ASU 2025-03, </w:t>
      </w:r>
      <w:r>
        <w:rPr>
          <w:rFonts w:ascii="Times New Roman;serif" w:hAnsi="Times New Roman;serif"/>
          <w:b w:val="false"/>
          <w:i/>
          <w:color w:val="000000"/>
          <w:sz w:val="20"/>
        </w:rPr>
        <w:t>Business Combinations (Topic 805) and Consolidation (Topic 810):</w:t>
      </w:r>
      <w:r>
        <w:rPr>
          <w:color w:val="000000"/>
        </w:rPr>
        <w:t xml:space="preserve"> </w:t>
      </w:r>
      <w:r>
        <w:rPr>
          <w:rFonts w:ascii="Times New Roman;serif" w:hAnsi="Times New Roman;serif"/>
          <w:b w:val="false"/>
          <w:i/>
          <w:color w:val="000000"/>
          <w:sz w:val="20"/>
        </w:rPr>
        <w:t>Determining the Accounting Acquirer in the Acquisition of a Variable Interest Entity</w:t>
      </w:r>
      <w:r>
        <w:rPr>
          <w:rFonts w:ascii="Times New Roman;serif" w:hAnsi="Times New Roman;serif"/>
          <w:b w:val="false"/>
          <w:color w:val="000000"/>
          <w:sz w:val="20"/>
        </w:rPr>
        <w:t>, which revises the guidance in ASC 805 on identifying the accounting acquirer in a business combination in which the legal acquiree is a variable interest entity (“VIE”). This ASU is intended to improve comparability between business combinations that involve VIEs and those that do not and requires a reporting entity to consider the factors for identifying the accounting acquirer when a transaction is primarily effected by the exchange of equity interests. This ASU will be effective for the Company beginning January 1, 2027 and early adoption is permitted. We are currently evaluating the impact of this update on our disclosures in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Interim Reporting</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 xml:space="preserve">Interim Reporting (Topic 270): Narrow-Scope Improvements, </w:t>
      </w:r>
      <w:r>
        <w:rPr>
          <w:rFonts w:ascii="Times New Roman;serif" w:hAnsi="Times New Roman;serif"/>
          <w:b w:val="false"/>
          <w:color w:val="000000"/>
          <w:sz w:val="20"/>
        </w:rPr>
        <w:t>which clarifies interim disclosure requirements and the applicability of Topic 270. This guidance will be effective for interim periods beginning January 1, 2028, with early adoption permitted. Upon adoption, the guidance can be applied prospectively or retrospectively. We are currently assessing the impact of this update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3. REPORTABLE SEGMENTS AND REVENUE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under one operating segment, which is its only reportable segment: the production and sale of cannabis products. All of the Company’s operations are located in the United States. The Company’s chief operating decision maker (“CODM”), the Chief Executive Officer, manages the business and makes operating decisions at the consolidated level. Accordingly, our CODM uses consolidated operating profit and net income (loss) to measure segment profit or loss, allocate resources, and assess operating performance. Further, the CODM reviews and utilizes functional expenses, such as general and administrative expenses, at the consolidated level to manage the Company’s operations. Other segment items included in consolidated net loss that are reflected in the unaudited Condensed Consolidated Statements of Operations are: interest expense; other income, net; and income tax expense. Refer to Note 17, “Supplemental Information,” for additional information regarding our general and administrative expenses.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disaggregates its revenue from the direct sale of cannabis to customers as retail revenue and wholesale revenue. We have determined that disaggregating revenue into these categories best depicts how the nature, amount, timing, and uncertainty of revenue and cash flows are affected by economic factors. </w:t>
      </w:r>
    </w:p>
    <w:tbl>
      <w:tblPr>
        <w:tblW w:w="5586" w:type="dxa"/>
        <w:jc w:val="left"/>
        <w:tblInd w:w="0" w:type="dxa"/>
        <w:tblLayout w:type="fixed"/>
        <w:tblCellMar>
          <w:top w:w="28" w:type="dxa"/>
          <w:left w:w="28" w:type="dxa"/>
          <w:bottom w:w="28" w:type="dxa"/>
          <w:right w:w="28" w:type="dxa"/>
        </w:tblCellMar>
      </w:tblPr>
      <w:tblGrid>
        <w:gridCol w:w="939"/>
        <w:gridCol w:w="826"/>
        <w:gridCol w:w="830"/>
        <w:gridCol w:w="211"/>
        <w:gridCol w:w="826"/>
        <w:gridCol w:w="109"/>
        <w:gridCol w:w="109"/>
        <w:gridCol w:w="109"/>
        <w:gridCol w:w="109"/>
        <w:gridCol w:w="211"/>
        <w:gridCol w:w="826"/>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Third-party wholesale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liability related to the loyalty program we offer dispensary customers at certain locations was $1,168 and $1,125 at March 31, 2026 and December 31, 2025, respectively, and is included within “Other current liabilities” on the unaudited Condensed Consolidated Balance Sheets. The total allowance for credit losses was $2,369 and $2,301 as of March 31, 2026 and December 31, 2025, respectively. Write-offs were not significant during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4. ACQUISITIONS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Business Combinations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Company has determined that the acquisitions discussed below are considered business combinations under ASC Topic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and are accounted for by applying the acquisition method, whereby the assets acquired and the liabilities assumed are recorded at their fair values with any excess of the aggregate consideration over the fair values of the identifiable net assets allocated to goodwill. Operating results are included in these Financial Statements from the date of the acquisition.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purchase price allocation for each acquisition reflects various preliminary fair value estimates and analyses, including certain tangible assets acquired and liabilities assumed, the valuation of intangible assets acquired, and goodwill, which are subject to change within the measurement period as preliminary valuations are finalized (generally one year from the acquisition date). Measurement period adjustments are recorded in the reporting period in which the estimates are finalized and adjustment amounts are determined.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2025 Acquisitions</w:t>
      </w:r>
    </w:p>
    <w:p>
      <w:pPr>
        <w:pStyle w:val="TextBody"/>
        <w:bidi w:val="0"/>
        <w:spacing w:lineRule="auto" w:line="288" w:before="0" w:after="180"/>
        <w:ind w:left="0" w:right="0" w:firstLine="7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Midwest Partnership Dispensary Three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2025, a consolidated VIE of the Company (Midwest Retail Partner One, as defined in Note 8, “Variable Interest Entities”) entered into a definitive agreement to acquire an entity that owns and operates an adult-use dispensary (“Midwest Partnership Dispensary Three”), which agreement was subject to regulatory approval. The parties also entered into a management services agreement (“MSA”) pursuant to which Midwest Retail Partner One will provide certain management and advisory services for a set fee. This MSA became effective in March 2025, following its regulatory approval. Based on the provisions of this MSA, Midwest Retail Partner One obtained operational and financial influence over Midwest Partnership Dispensary Three and therefore recognized the transaction as a business combination as of the March 2025 regulatory approval date of this MSA. Refer to Note 8, “Variable Interest Entities,” for additional information regarding the Company’s VIEs. This MSA remained in place until final closing of the underlying transaction that occurred in April 2026.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anticipated cash consideration for the Midwest Partnership Dispensary Three transaction was $1,667, of which $833 was paid upon the regulatory approval of the MSA and the remainder was due at final closing, subject to certain closing adjustments. During the three months ended March 31, 2026, the parties agreed to reduce consideration by $18, which was reflected as a final measurement period adjustment to accounts payable and accrued liabilities, and the final closing payment was paid at closing in April 2026. This agreement also provides for an earn-out payment, to be paid in cash, based on 3.2-times EBITDA (as defined in the underlying agreement) that is achieved during a specified twelve-month period, less the purchase price. The initial fair value estimate of $1,600 for this earn-out was determined utilizing an income approach based on a probability-weighted estimate of the future payment discounted using the Company’s estimated incremental borrowing rate and is classified within Level 3 of the fair value hierarchy. As of March 31, 2026 and December 31, 2025, the estimated fair value of this earn-out was $900 and $1,250, respectively, which is included within “Accounts payable and accrued liabilities” on the unaudited Condensed Consolidated Balance Sheets as of each date. The change in fair value of $350 is included within “General and administrative expenses” on the unaudited Condensed Consolidated Statements of Operations for the three months ended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Midwest Partnership Dispensary Four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2025, Midwest Retail Partner One entered into a definitive agreement to acquire an entity that owns and operates an adult-use dispensary (“Midwest Partnership Dispensary Four”), which agreement was subject to regulatory approval. The parties also entered into an MSA pursuant to which Midwest Retail Partner One will provide management and advisory services for a set fee. This MSA became effective in May 2025, following its regulatory approval. Based on the provisions of this MSA, the Midwest Retail Partner One obtained operational and financial influence over Midwest Partnership Dispensary Four and therefore recognized the transaction as a business combination as of the May 2025 regulatory approval date of this MSA. Refer to Note 8, “Variable Interest Entities,” for additional information regarding the Company’s VIEs. This MSA remained in place until final closing of the underlying transaction that occurred in April 2026.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cash consideration for the Midwest Partnership Dispensary Four transaction was $3,333, of which $1,667 was paid upon the regulatory approval of the MSA and the remainder was due at final closing, subject to certain closing adjustments. During the three months ended March 31, 2026, the parties agreed to reduce consideration by $174, which included a measurement period adjustment of $74 related to accounts payable and accrued liabilities and the remainder to goodwill, and the final closing payment was paid at closing in April 2026. This agreement also provides for an earn-out payment, to be paid in cash, based on 3.2-times EBITDA (as defined in the underlying agreement) that is achieved during a specified twelve-month period, less the purchase price. The initial fair value estimate of $1,900 for this earn-out was determined utilizing an income approach based on a probability-weighted estimate of the future payment discounted using the Company’s estimated incremental borrowing rate and is classified within Level 3 of the fair value hierarchy. As of March 31, 2026 and December 31, 2025, the estimated fair value of this earn-out was $1,400 and $1,540, respectively, and is included within “Accounts payable and accrued liabilities” on the unaudited Condensed Consolidated Balance Sheets as of each date. The change in fair value of $140 is included within “General and administrative expenses” on the unaudited Condensed Consolidated Statements of Operations for the three months ended March 31, 2026.</w:t>
      </w:r>
    </w:p>
    <w:p>
      <w:pPr>
        <w:pStyle w:val="TextBody"/>
        <w:bidi w:val="0"/>
        <w:spacing w:lineRule="auto" w:line="288" w:before="0" w:after="180"/>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Northeast Partnership Dispensary One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2025, Northeast Retail Partner Three (as defined in Note 8, “Variable Interest Entities”) entered into a definitive agreement to acquire an adult-use dispensary (the “Northeast Partnership Dispensary One”). The parties also entered into a consulting agreement under which Northeast Retail Partner Three provided management and advisory services for a set fee while the transaction was pending final closing. The transaction was recognized as a business combination as of the June 2025 effective date of the consulting agreement. Total cash consideration for Northeast Partnership Dispensary One was $3,250, of which $813 was paid at signing and the remainder was paid at final closing, which occurred in December 2025. Closing adjustments were not material. Refer to Note 8, “Variable Interest Entities,” for additional information regarding the Company’s VIEs. </w:t>
      </w:r>
    </w:p>
    <w:p>
      <w:pPr>
        <w:pStyle w:val="TextBody"/>
        <w:bidi w:val="0"/>
        <w:spacing w:lineRule="auto" w:line="288" w:before="0" w:after="180"/>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Northeast Partnership Dispensaries Two and Three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Northeast Retail Partner Three (as defined in Note 8, “Variable Interest Entities”) acquired an entity that owns and operates two adult-use dispensaries (“Northeast Partnership Dispensaries Two and Three”), which transaction was completed pursuant to a definitive agreement that was signed in February 2025 and was subject to certain closing conditions, including regulatory approval of the underlying transaction which was received prior to closing. The stated purchase price consisted of $7,850 of cash consideration, subject to certain working capital and other customary adjustments, and of which $250 was paid as a deposit at signing. Total cash consideration included the settlement of $4,779 related to an outstanding note with a principal balance of $4,100 and associated interest. As of the closing date, the Company paid $1,541, which included an initial working capital estimate of $1,040. In December 2025, the parties agreed to a revised working capital estimate that reduced this estimate by $2,609. The resulting net estimate of $289 is included within “Other current assets” on the unaudited Condensed Consolidated Balance Sheets as of March 31, 2026 and December 31, 2025. The final working capital adjustment and any resulting payment is due on the one-year anniversary of closing.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transaction also provides for an earn-out payment, payable in cash, in an amount equal to the lesser of $2,000 or three times the Annual EBITDA (as defined in the underlying agreement) during the one-year period following closing. The initial fair value estimate of $1,800 for this earn-out was determined utilizing an income approach based on a probability-weighted estimate of the future payment discounted using the Company’s estimated incremental borrowing rate and is classified within Level 3 of the fair value hierarchy. As of March 31, 2026 and December 31, 2025, the estimated fair value of this earn-out was $1,881 and $1,823, respectively, which is included within “Accounts payable and accrued liabilities” on the unaudited Condensed Consolidated Balance Sheets, and the change in fair value is included within “General and administrative expenses” on the unaudited Condensed Consolidated Statements of Operations for the three months ended March 31, 2026. No material measurement period adjustments to the purchase price allocation were reflected during the three months ended March 31, 2026. </w:t>
      </w:r>
    </w:p>
    <w:p>
      <w:pPr>
        <w:pStyle w:val="TextBody"/>
        <w:bidi w:val="0"/>
        <w:spacing w:lineRule="auto" w:line="288" w:before="0" w:after="180"/>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Financial and Pro Forma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revenue and net income (loss) that are included in our consolidated results of operations related to the business combinations that were recognized during 2025.</w:t>
      </w:r>
    </w:p>
    <w:tbl>
      <w:tblPr>
        <w:tblW w:w="10205" w:type="dxa"/>
        <w:jc w:val="left"/>
        <w:tblInd w:w="0" w:type="dxa"/>
        <w:tblLayout w:type="fixed"/>
        <w:tblCellMar>
          <w:top w:w="28" w:type="dxa"/>
          <w:left w:w="28" w:type="dxa"/>
          <w:bottom w:w="28" w:type="dxa"/>
          <w:right w:w="28" w:type="dxa"/>
        </w:tblCellMar>
      </w:tblPr>
      <w:tblGrid>
        <w:gridCol w:w="428"/>
        <w:gridCol w:w="342"/>
        <w:gridCol w:w="343"/>
        <w:gridCol w:w="433"/>
        <w:gridCol w:w="1268"/>
        <w:gridCol w:w="225"/>
        <w:gridCol w:w="109"/>
        <w:gridCol w:w="109"/>
        <w:gridCol w:w="109"/>
        <w:gridCol w:w="426"/>
        <w:gridCol w:w="1247"/>
        <w:gridCol w:w="221"/>
        <w:gridCol w:w="109"/>
        <w:gridCol w:w="109"/>
        <w:gridCol w:w="109"/>
        <w:gridCol w:w="430"/>
        <w:gridCol w:w="1257"/>
        <w:gridCol w:w="223"/>
        <w:gridCol w:w="109"/>
        <w:gridCol w:w="109"/>
        <w:gridCol w:w="109"/>
        <w:gridCol w:w="509"/>
        <w:gridCol w:w="1489"/>
        <w:gridCol w:w="383"/>
      </w:tblGrid>
      <w:tr>
        <w:trPr/>
        <w:tc>
          <w:tcPr>
            <w:tcW w:w="42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 2026</w:t>
            </w:r>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Midwest Partnership Dispensary Three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Midwest Partnership Dispensary Four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Northeast Partnership Dispensary One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Northeast Partnership Dispensaries Two and Three</w:t>
            </w:r>
          </w:p>
        </w:tc>
      </w:tr>
      <w:tr>
        <w:trPr/>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consolidated results of operations for three months ended March 31, 2025 include $75 of net revenue and $12 of net loss related to Midwest Partnership Dispensary Three. Pro forma financial information is not presented for these acquisitions, as such results are immaterial, individually and in aggregate, to both the current and prior periods.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Other Activity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activity described above, a total of $3,200 was remitted during the three months ended March 31, 2026 for deposits towards future potential transactions. These amounts are included within “Other current assets” on the unaudited Condensed Consolidated Balance Sheet as of March 31, 2026 and within “Payments for acquisition of businesses and related deposits, net of cash acquired” on the unaudited condensed consolidated statements of cash flows for the three months ended March 31, 2026.</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2024 Acquisition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in April 2024, Midwest Retail Partner One acquired two dispensaries in the greater Chicago, Illinois area (the “2024 Midwest Partner Dispensaries”). The parties also entered into interim MSAs pursuant to which Midwest Retail Partner One will advise on certain business, operational, and financial matters for a monthly fee while the parties finalize asset purchase agreements to acquire the underlying dispensaries (the “2024 Midwest MSAs”). Based on the provisions of the 2024 Midwest MSAs, the third party obtained operational and financial influence over the dispensaries and therefore recognized the transaction as a business combination as of the April 2024 regulatory approval date of the 2024 Midwest MSAs. Refer to Note 8, “Variable Interest Entities,” for additional information regarding the Company’s VIEs.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stated total purchase price was approximately $10,000 of cash consideration, subject to certain closing adjustments. An initial deposit of $1,500 was remitted during the first quarter of 2024 and the remainder of $8,500 was remitted to escrow during the second quarter of 2024. In November 2025, the parties agreed to reduce the purchase price by $1,250, which funds were received from escrow, and $5,750 was released to the sellers at that time. The balance of the revised purchase price remained in escrow as of March 31, 2026, to be released upon final closing, subject to certain closing adjustments. Final closing of the asset purchase agreements in respect of the 2024 Midwest Partner Dispensaries remains subject to regulatory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Asset Acquisitions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determined the acquisitions below did not meet the definition of a business and are therefore accounted for as asset acquisitions. When the Company acquires assets and liabilities that do not constitute a business or VIE of which the Company is the primary beneficiary, the cost of each acquisition, including certain transaction costs, is allocated to the assets acquired and liabilities assumed on a relative fair value basis. Contingent consideration associated with the acquisition is generally recognized only when the contingency is resolved.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When the Company acquires assets and liabilities that do not constitute a business but meet the definition of a VIE of which the Company is the primary beneficiary, the purchase is accounted for using the acquisition method described above for business combinations, except that no goodwill is recognized. To the extent there is a difference between the purchase consideration, including the estimated fair value of contingent consideration, plus the estimated fair value of any non-controlling interest and the VIE’s identifiable assets and liabilities recorded and measured at fair value, the difference is recognized as a gain or loss. A non-controlling interest represents the non-affiliated equity interest in the underlying entity. Transaction costs are expensed.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2026 Asset Acquisition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Northeast Retail Partnership Dispensary Six</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2025, the Company entered into a definitive agreement pursuant to which the Company proposed to acquire an entity that anticipated obtaining an adult-use license (“Northeast Retail Partnership Dispensary Six”) and receive $1,000 of cash consideration in exchange for the Company’s Ohio cultivation license (the “Ohio Cultivation License”). This transaction was subject to certain closing conditions, including regulatory approvals, and closed in March 2026. Northeast Retail Partnership Dispensary Six was not operational at the time of closing and therefore the Company accounted for this transaction as an asset acquisition and allocated the cost of $2,700 to the license acquired, in addition to an acquisition-related deferred tax liability of $1,063. The cost of the transaction was measured by the fair value of the non-cash consideration received in the transaction, which was estimated based on a discounted cash flow model utilizing inputs primarily classified within Level 3 of the fair value hierarchy plus the fair value of the cash received. The Company recognized a gain on sale of $137, which is included within “General and administrative expenses” for the three months ended March 31, 2026. This gain represented the excess of fair value compared with the $3,529 book value of the Ohio Cultivation License, less the $1,000 cash received and a nominal value associated with inventory. The Ohio Cultivation License was de-recognized as of the transaction date; refer to Note 9, “Intangible Assets and Goodwill,” for additional information. The parties also settled $349 that the Company previously funded under a note receivable and reimbursed the seller for an additional $588 related to capital expenditures. The Company also assumed the lease for the dispensary location which had a lease liability and ROU asset of $1,066 as of the effective date and is classified as an operating lease; refer to Note 10, “Leases,” for additional information regarding the Company’s leases. Transaction costs were not material. This transaction was with a specific buyer and the Company determined the Ohio Cultivation License did not meet the criteria to be classified as held-for-sale as of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2025 Asset Acquisitions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2024, Midwest Retail Partner One entered into a definitive agreement to acquire the membership interests of an entity that anticipates receiving two adult-use licenses, which agreement is subject to regulatory approval. In conjunction with this definitive agreement, the parties entered into certain MSAs under which Midwest Retail Partner One will provide certain management and advisory services for a set fee. Based on the provisions of the agreements, Midwest Retail Partner One obtained operational and financial influence over the underlying entity and therefore recognized the transaction as an asset acquisition as of the February 2025 regulatory approval date of these MSAs. Total cash consideration for this transaction may be up to $4,000, subject to certain closing adjustments, and was allocated to the licenses acquired as of the effective date, in addition to an acquisition-related deferred tax liability of $1,755. Of the total consideration, $1,000 was paid at signing in December 2024. A total of up to $1,500 is expected to be paid upon opening of the associated dispensary locations and a total of up to $1,500 is expected to be paid upon final closing of the associated transaction. The total of these payments is included as a sellers’ note as of March 31, 2026 and December 31, 2025; refer to Note 11, “Debt.” One of the dispensary locations opened in March 2026, and a payment of $750 was made in May 2026 in accordance with the agreement. Refer to Note 8, “Variable Interest Entities,” for additional information regarding the Company’s VIEs, including Midwest Retail Partner One.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2025, Midwest Retail Partner One entered into a definitive agreement to acquire a conditional adult-use license, which agreement is subject to regulatory approval. In conjunction with this definitive agreement, the parties entered into certain MSAs under which Midwest Retail Partner One will provide certain management and advisory services for a set fee. The parties also entered into a working capital loan and security agreement, under which Midwest Retail Partner One may loan up to $3,650 for the build-out of the associated dispensary, which loan has a five year maturity, if not otherwise settled, bears interest at a rate of 12.5% per annum, and provides for a default interest penalty of an additional 6.0% and a repayment fee of 10.0%. Based on the provisions of the MSAs and working capital loan, Midwest Retail Partner One obtained operational and financial influence over the underlying assets as of the February 2025 regulatory approval date of the MSAs. As such, this transaction was accounted for as an asset acquisition as of that date and the total consideration was allocated as the cost of the license acquired. In October 2025, the parties amended the definitive agreement to, among other provisions, reduce the $1,900 of total cash consideration by $150 and advance $450 at that time. The remaining payment is to be paid at final closing and subject to certain closing adjustment and is included as a sellers’ note as of March 31, 2026 and December 31, 2025. Direct transaction costs were not material. The associated dispensary opened in May 2025 and the Company anticipates that closing of the transaction may occur in the second half of 2026. Refer to Note 8, “Variable Interest Entities,” for additional information regarding the Company’s VIEs, including the Midwest Retail Partner One.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2025, the Company acquired a conditional adult-use license for $2,000 of cash consideration. This transaction (“Northeast Retail Partnership Dispensary Five”) was accounted for as an asset acquisition as of the effective date and the total cash consideration was allocated as the cost of the license acquired, in addition to an acquisition-related deferred tax liability of $878. Of the total cash consideration, $1,000 was paid to the seller as of the effective date and the remainder was remitted to escrow and was released to the sellers in April 2026. Regulatory approval of the underlying license transfer remains pending. The Company also assumed the lease for the associated dispensary location; refer to Note 10, “Leases,” for additional information regarding the Company’s leases. Direct transaction costs were not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Previous Asset Acquisitions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Ohio Patient Access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on August 12, 2022, the Company entered into a definitive agreement (the “Ohio Agreement”) that provided the Company the option to acquire 100% of the equity of Ohio Patient Access LLC (“OPA”), the holder of a license that grants it the right to operate three medical dispensaries in Ohio. Under the Ohio Agreement, the Company would also acquire the real property of the three dispensary locations. The Ohio Agreement was subject to regulatory review and approval and, once received, the Company could exercise the option, the exercise of which was solely within the Company’s control. In June 2024, the Ohio Agreement was amended to, among other provisions, extend the option exercise period to March 22, 2026 and to also incorporate certain provisions regarding evolving regulations in Ohio, including that the Company will receive two additional adult-use licenses that are expected to be awarded to OPA.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2025, the Company entered into certain amendments related to the Ohio Agreement that, among other provisions, permitted the Company to acquire the real property of the dispensary locations in advance of the license ownership transfer and advanced to the sellers $2,000 of the remaining $11,000 of cash consideration that was due at final closing (the “OPA Sellers’ Note”). Effective on August 5, 2025, the Company acquired the entity that holds the real property. In September 2025, the Company notified the sellers that it was exercising the option to acquire OPA. The related transaction closed in October 2025 and $7,000 of the OPA Sellers’ Note was paid at that time. The remaining $2,000 of total transaction consideration will be remitted upon the final transfer of each of the two additional licenses, which is expected to occur after each of the related dispensary locations open, and is included as a sellers’ note as of March 31, 2026 and December 31, 2025; refer to Note 11, “Debt.”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conjunction with the Ohio Agreement, the parties entered into a support services agreement under which the Company would provide management and advisory services to OPA for a set monthly fee until such time as the underlying transaction closes and the parties also entered into a working capital loan agreement under which the Company may, at its full discretion, loan OPA funds for general working capital needs. The Company determined OPA was a VIE and the Company became the primary beneficiary as of the signing date; therefore, OPA was consolidated as a VIE as of the initial signing date through the October 2025 closing date; refer to Note 8, “Variable Interest Entities,” for additional information regarding the Company’s VIEs.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5. INVENTORY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inventory are as follows:</w:t>
      </w:r>
    </w:p>
    <w:tbl>
      <w:tblPr>
        <w:tblW w:w="5487" w:type="dxa"/>
        <w:jc w:val="left"/>
        <w:tblInd w:w="0" w:type="dxa"/>
        <w:tblLayout w:type="fixed"/>
        <w:tblCellMar>
          <w:top w:w="28" w:type="dxa"/>
          <w:left w:w="28" w:type="dxa"/>
          <w:bottom w:w="28" w:type="dxa"/>
          <w:right w:w="28" w:type="dxa"/>
        </w:tblCellMar>
      </w:tblPr>
      <w:tblGrid>
        <w:gridCol w:w="706"/>
        <w:gridCol w:w="621"/>
        <w:gridCol w:w="623"/>
        <w:gridCol w:w="292"/>
        <w:gridCol w:w="998"/>
        <w:gridCol w:w="150"/>
        <w:gridCol w:w="109"/>
        <w:gridCol w:w="109"/>
        <w:gridCol w:w="109"/>
        <w:gridCol w:w="344"/>
        <w:gridCol w:w="1175"/>
        <w:gridCol w:w="251"/>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and supplies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87,149 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84,707 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compensation expense capitalized to inventory was $18,891 and $17,492 during the three months ended March 31, 2026 and 2025, respectively. At March 31, 2026 and December 31, 2025, $16,595 and $15,706, respectively, of compensation expense remained capitalized as part of inventory. The Company recognized, as a component of cost of goods sold, total write-downs related to net realizable value adjustments, expired products, and obsolete packaging totaling $644 and $1,774 during the three months ended March 31, 2026 and 2025, respectively. These amounts are included within “Other” on the unaudited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6. NOTES RECEIVABLE</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Other Activity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conjunction with a definitive agreement that the Company entered into in April 2025, as further described in Note 4, “Acquisitions,” the parties entered into a working capital loan agreement to provide a maximum of approximately $900 of funding for the respective build out of the associated dispensary. Borrowings under the working capital loan bore interest at a rate of 7% per annum, and borrowings and accrued interest were to be repaid following the termination of the related definitive agreement or settled as part of the associated transaction. The working capital loan provided for customary events of default and is secured by certain underlying assets. The Company provided the counter-party with $349 of funding under the working capital loan, which was outstanding as of December 31, 2025 and was included in “Notes receivable” on the unaudited Condensed Consolidated Balance Sheet. This amount was settled as part of the closing of an associated transaction; refer to Note 4, “Acquisitions.”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2024, in conjunction with the settlement of a previously outstanding note receivable, the Company entered into a supply agreement that provides for the Company to receive $6,000 of inventory products, based on market prices, over the course of three years, with a maximum of $500 per quarter. The Company recorded this receivable net of an initial discount of $984 that is being accreted to interest income over the agreement term. A total of $250 and $254 of inventory was supplied under this agreement during the three months ended March 31, 2026 and 2025, respectively. As of March 31, 2026 and December 31, 2025, $975 and $1,000, respectively, of the remaining receivable is included within “Other current assets” on the unaudited Condensed Consolidated Balance Sheets as of each date and $197 is included within “Other non-current assets” as of December 31, 2025. These amounts are net of reserves established in 2024 for collection risk, of which $1,000 is included in “Other current assets” and $1,083 is included within “Other non-current assets.”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a total of $3,672 was outstanding at December 31, 2025 related to a promissory note issued to the owner of a property that the Company is renting, of which $184 and $3,488 is included in “Other current assets” and “Other non-current assets,” respectively, on the unaudited Condensed Consolidated Balance Sheet as of that date. In February 2026, the parties agreed to terminate this note and the Company received a payment of $3,000 in satisfaction of the obligations thereunder, and recognized a loss on settlement of $657, which is included within “General and administrative expenses” on the unaudited Condensed Consolidated Statements of Operations and “Other” on the unaudited Condensed Consolidated Statements of Cash Flows for the three months ended March 31, 2026.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impairment losses on notes receivable were recognized during the three months ended March 31, 2026 or 2025, other than as described above or in Note 15,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7. PROPERTY AND EQUIPMENT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consists of the following:</w:t>
      </w:r>
    </w:p>
    <w:tbl>
      <w:tblPr>
        <w:tblW w:w="6415" w:type="dxa"/>
        <w:jc w:val="left"/>
        <w:tblInd w:w="0" w:type="dxa"/>
        <w:tblLayout w:type="fixed"/>
        <w:tblCellMar>
          <w:top w:w="28" w:type="dxa"/>
          <w:left w:w="28" w:type="dxa"/>
          <w:bottom w:w="28" w:type="dxa"/>
          <w:right w:w="28" w:type="dxa"/>
        </w:tblCellMar>
      </w:tblPr>
      <w:tblGrid>
        <w:gridCol w:w="1040"/>
        <w:gridCol w:w="916"/>
        <w:gridCol w:w="923"/>
        <w:gridCol w:w="265"/>
        <w:gridCol w:w="1038"/>
        <w:gridCol w:w="137"/>
        <w:gridCol w:w="109"/>
        <w:gridCol w:w="109"/>
        <w:gridCol w:w="109"/>
        <w:gridCol w:w="313"/>
        <w:gridCol w:w="1228"/>
        <w:gridCol w:w="228"/>
      </w:tblGrid>
      <w:tr>
        <w:trPr/>
        <w:tc>
          <w:tcPr>
            <w:tcW w:w="10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222,811 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219,389 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213,788 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213,781 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95,234 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92,168 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gross</w:t>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547,488 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540,754 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170,887 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158,352 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376,601 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382,402 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depreciation expense was $12,535 and $9,860 during the three months ended March 31, 2026 and 2025, respectively. Total depreciation expense capitalized to inventory was $8,387 and $7,019 during the three months ended March 31, 2026 and 2025, respectively. At March 31, 2026 and December 31, 2025, $3,132 and $1,966, respectively, of depreciation expense remained capitalized as part of inventory. Disposals and write-offs of accumulated depreciation during the three months ended March 31, 2026 were not material. During the three months ended March 31, 2026, the Company wrote off a total of $244 of certain construction in progress projects, which is included within “General and administrative expenses” on the unaudited Condensed Consolidated Statements of Operations and within “Other” on the unaudited Condensed Consolidated Statements of Cash Flows.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above includes the following amounts related to finance leases:</w:t>
      </w:r>
    </w:p>
    <w:tbl>
      <w:tblPr>
        <w:tblW w:w="6400" w:type="dxa"/>
        <w:jc w:val="left"/>
        <w:tblInd w:w="0" w:type="dxa"/>
        <w:tblLayout w:type="fixed"/>
        <w:tblCellMar>
          <w:top w:w="28" w:type="dxa"/>
          <w:left w:w="28" w:type="dxa"/>
          <w:bottom w:w="28" w:type="dxa"/>
          <w:right w:w="28" w:type="dxa"/>
        </w:tblCellMar>
      </w:tblPr>
      <w:tblGrid>
        <w:gridCol w:w="1038"/>
        <w:gridCol w:w="912"/>
        <w:gridCol w:w="914"/>
        <w:gridCol w:w="265"/>
        <w:gridCol w:w="1038"/>
        <w:gridCol w:w="137"/>
        <w:gridCol w:w="109"/>
        <w:gridCol w:w="109"/>
        <w:gridCol w:w="109"/>
        <w:gridCol w:w="313"/>
        <w:gridCol w:w="1228"/>
        <w:gridCol w:w="228"/>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128,859 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128,859 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Vehicles</w:t>
            </w:r>
            <w:r>
              <w:rPr>
                <w:rFonts w:ascii="Times New Roman;serif" w:hAnsi="Times New Roman;serif"/>
                <w:b w:val="false"/>
                <w:color w:val="000000"/>
                <w:sz w:val="13"/>
              </w:rPr>
              <w:t>(1)</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Equipment</w:t>
            </w:r>
            <w:r>
              <w:rPr>
                <w:rFonts w:ascii="Times New Roman;serif" w:hAnsi="Times New Roman;serif"/>
                <w:b w:val="false"/>
                <w:color w:val="000000"/>
                <w:sz w:val="13"/>
              </w:rPr>
              <w:t>(1)(2)</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134,171 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133,981 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accumulated amortization</w:t>
            </w:r>
            <w:r>
              <w:rPr>
                <w:rFonts w:ascii="Times New Roman;serif" w:hAnsi="Times New Roman;serif"/>
                <w:b w:val="false"/>
                <w:color w:val="000000"/>
                <w:sz w:val="13"/>
              </w:rPr>
              <w:t>(3)</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w:t>
            </w:r>
            <w:r>
              <w:rPr>
                <w:rFonts w:ascii="Times New Roman;serif" w:hAnsi="Times New Roman;serif"/>
                <w:b/>
                <w:color w:val="000000"/>
                <w:sz w:val="13"/>
              </w:rPr>
              <w:t>(4)</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126,356 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128,732 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Included within “Furniture, fixtures, and equipment.”</w:t>
      </w:r>
    </w:p>
    <w:p>
      <w:pPr>
        <w:pStyle w:val="TextBody"/>
        <w:bidi w:val="0"/>
        <w:spacing w:lineRule="auto" w:line="288" w:before="0" w:after="12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Equipment leased pursuant to a master lease agreement that was entered into in June 2022, which provided for up to $15,000 in aggregate, pursuant to individual lease agreements.</w:t>
      </w:r>
    </w:p>
    <w:p>
      <w:pPr>
        <w:pStyle w:val="TextBody"/>
        <w:bidi w:val="0"/>
        <w:spacing w:lineRule="auto" w:line="288" w:before="0" w:after="12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Included within “Accumulated depreciation.” Disposals and write-offs of accumulated amortization during the three months ended March 31, 2026 were not material.</w:t>
      </w:r>
    </w:p>
    <w:p>
      <w:pPr>
        <w:pStyle w:val="TextBody"/>
        <w:bidi w:val="0"/>
        <w:spacing w:lineRule="auto" w:line="288" w:before="0" w:after="12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Refer to Note 10, “Leases,” for additional information regarding our lease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8. VARIABLE INTEREST ENTITIES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VIE is a legal entity that does not have sufficient equity at risk to finance its activities without additional subordinated financial support or is structured that such equity investors lack the ability to make significant decisions relating to the entity’s operations through voting rights or do not substantively participate in the gains or losses of the entity. The primary beneficiary has both the power to direct the activities of the VIE that most significantly impact the entity’s economic performance and the obligation to absorb losses or the right to receive benefits from the VIE that could potentially be significant to the VIE.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assesses the terms of various agreements and contractual relationships to determine if the Company is the primary beneficiary, generally due to provisions that provide the Company with operational and financial influence over the underlying entity, as well as financial distributions based on the underlying associated results of operations. Such transactions may include support services agreements, management services agreements, loan or financing agreements, or various other contractual agreements. We assess all variable interests in the entity and use our judgment when determining if we are the primary beneficiary. In addition to contractual agreements with the VIE, other qualitative factors that are considered include decision-making responsibilities, the VIE capital structure, risk and rewards sharing, voting rights, and the level of involvement of other parties. We assess the primary beneficiary determination for a VIE on an ongoing basis if there are any changes in the facts and circumstances related to a VIE.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Where we determine we are the primary beneficiary of a VIE, we consolidate the accounts of that VIE. The equity owned by other stockholders is shown, as applicable, as non-controlling interests in the accompanying unaudited Condensed Consolidated Balance Sheets, Statements of Operations, and Statements of Changes in Stockholders’ Equity. The assets of the VIE can only be used to settle obligations of that entity, and any creditors of that entity generally have no recourse to the assets of other entities or the Company unless the Company separately agrees to be subject to such claims.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January 2024 Loan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January 2024, the Company entered into a loan agreement pursuant to which the Company may provide financing (the “January 2024 Loan Agreement”), up to $3,000, as amended, at its sole discretion, to a third party (“Northeast Retail Partner One”). Borrowings under the January 2024 Loan Agreement bear interest at a rate of 20.0% per annum and are secured by substantially all of the assets and equity interests of the third party. The January 2024 Loan Agreement provides for customary events of default, contains certain covenants and other restrictions, has a ten-year term, as amended, and prepayment is permitted with prior written notice. The January 2024 Loan Agreement also contains certain provisions and restrictive covenants that provide the Company with operational and financial influence over Northeast Retail Partner One and also provides the Company with financial distributions based on the underlying associated results of operations. The Company has a direct equity ownership interest of 35% of the equity interests of the borrower and, based on the terms of the January 2024 Loan Agreement and other agreements, determined that it has a variable interest in Northeast Retail Partner One and that it is the primary beneficiary, and, therefore, Northeast Retail Partner One met the criteria for consolidation as of such date. The underlying entity received a conditional license approval for one dispensary that was determined to have a fair value of $1,050, which approximated the fair value of the non-controlling interest held by the third-party member as of the effective date. The dispensary subsequently opened in December 2025 (“Northeast Partnership Dispensary Four”). Since the entity is consolidated as a VIE, the intercompany activity related to the January 2024 Loan Agreement is eliminated in consolidation. The net loss attributable to the non-controlling interest was not significant during the three months ended March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February 2024 Loan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2024, the Company entered into a loan agreement pursuant to which the Company may provide financing (the “February 2024 Loan Agreement”), as amended, at its sole discretion, to a third party (“Midwest Retail Partner One”). The parties also entered into a support services agreement under which the Company will provide management and advisory services for a set monthly fee. Borrowings under the February 2024 Loan Agreement bear interest at a rate of 20% per annum and are secured by substantially all of the assets of the borrower. The February 2024 Loan Agreement provides for customary events of default, contains certain covenants and other restrictions, and provides for a default penalty of an additional 5% interest. The February 2024 Loan Agreement matures ten years from issuance, but may be extended if not otherwise converted prior to maturity, with borrowings and interest not due until such time. The February 2024 Loan Agreement provides the Company with the option to convert the outstanding balance into equity interests of the borrower, up to 100%, as may be permissible by applicable regulations at such time. </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February 2024 Loan Agreement contains certain provisions and restrictive covenants that provide the Company with operational and financial influence over Midwest Retail Partner One. The Company determined that the terms and provisions of the February 2024 Loan Agreement and support services agreement create a variable interest in Midwest Retail Partner One and that it is the primary beneficiary, and, therefore, met the criteria for consolidation as of such date. Since the entity is consolidated as a VIE, the intercompany activity related to the February 2024 Loan Agreement and the related support services agreement is eliminated in consolidation. Midwest Retail Partner One held no assets at the time the agreements were entered into and the non-controlling interest was determined to have a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fair value as of that date. The net loss attributable to the non-controlling interest was not significant during the three months ended March 31, 2026 and 2025.</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Recent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 to Note 4, “Acquisitions,” for information regarding certain transactions related to Midwest Retail Partner One that are consolidated as of March 31, 2026.</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Detroit License Holder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2024, the Company acquired 49% of the member interests of an entity (the “Detroit License Holder”) that received conditional approval for an adult-use license in Detroit, Michigan (the “Detroit License”). The Detroit License was subsequently transferred to the Company’s dispensary in Detroit, Michigan, which re-opened in February 2025. Based on the provisions of the various associated agreements, the Company determined that the Detroit License Holder is a VIE and the Company became the primary beneficiary as of the closing date; therefore, the Detroit License Holder is consolidated as a VIE. The underlying transaction agreement provided for an earn-out of up to $2,250 of additional consideration based upon the achievement of certain levels of sales during a specified twelve-month period following the commencement of adult-use sales at the dispensary, which sales commenced in February 2025. The estimated fair value of the contingent consideration was $340 as of December 31, 2025 and was included within “Other non-current liabilities” on the unaudited Condensed Consolidated Balance Sheet as of that date. This amount was reversed during the three months ended March 31, 2026 upon determination that the earn-out criteria would not be met, and is included within “General and administrative expenses” on the unaudited Condensed Consolidated Statements of Operations and within “Other” on the unaudited Condensed Consolidated Statements of Cash Flows for the three months ended March 31,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Northeast Retail Partner Two Loan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the Company and a third party (“Northeast Retail Partner Two”) entered into a loan agreement pursuant to which the Company may provide, at its sole discretion, financing to Northeast Retail Partner Two, as amended (the “Northeast Retail Partner Two Loan Agreement”). Borrowings under the Northeast Retail Partner Two Loan Agreement bear interest at a rate of 20% per annum and are secured by substantially all of the then-current and future assets and equity interests of the borrower. The Northeast Retail Partner Two Loan Agreement provides for customary events of default and contains certain covenants and other restrictions, and has a ten-year term. The Northeast Retail Partner Two Loan Agreement also contains certain provisions and restrictive covenants that provide the Company with operational and financial influence over Northeast Retail Partner Two and also provides the Company with financial distributions based on the underlying associated results of operations. The Company has a direct equity ownership interest of 35% of the equity interests in the borrower and, based on the terms of the Northeast Retail Partner Two Loan Agreement and other agreements, determined that it has a variable interest in Northeast Retail Partner Two and that it is the primary beneficiary, and therefore, met the criteria for consolidation as of such date. Since the entity is consolidated as a VIE, the intercompany activity related to the Northeast Retail Partner Two Loan Agreement is eliminated in consolidation. </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In February 2025, the Company and Northeast Retail Partner Two entered into a definitive agreement to acquire an entity that received licensing approvals for the operation of an adult-use dispensary for a total of $650 of cash consideration. The opening of this dispensary is subject to regulatory approval, which is expected to be received in the second half of 2026, subject to the discretion of the applicable regulatory authorities. The total cash consideration was allocated to the cost of the license, in addition to an acquisition-related deferred tax liability of $285. Of the total consideration, $250 was paid at signing and the remaining $400 was paid upon the one-year anniversary of the agreement date in February 2026, which was included as a sellers’ note as of December 31, 2025; refer to Note 11, “Debt.” The non-controlling interest was determined to have a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 xml:space="preserve">fair value and the net loss attributable to the non-controlling interest was not significant during the three months ended March 31, 2026 and 2025.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Northeast Retail Partner Three Loan Agreement</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At its sole discretion, the Company may provide funding to a third party (“Northeast Retail Partner Three”) pursuant to a loan agreement (the “Northeast Retail Partner Three Loan Agreement”). The Northeast Retail Partner Three Loan Agreement provides the Company with the option to convert the outstanding balance into equity interests of the borrower, up to 100%, as may be permissible by applicable regulations at such time. Borrowings under the Northeast Retail Partner Three Loan Agreement bear interest at a rate of 20% per annum and are secured by substantially all of the then-current or future assets of the borrower, as applicable. The Northeast Retail Partner Three Loan Agreement matures ten years from issuance, but may be extended if not otherwise converted prior to maturity, with borrowings and interest not due until such time. This third party held no assets at the time the agreements were entered into and the non-controlling interest was determined to have a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fair value as of that date. Since the entity is consolidated as a VIE, the intercompany activity related to the Northeast Retail Partner Three Loan Agreement is eliminated in consolidation. The net loss attributable to the non-controlling interest was not significant during the three months ended March 31, 2026 and 2025. Refer to Note 4, “Acquisitions,” for information regarding certain transactions related to Northeast Retail Partner Three that are consolidated as of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Northeast Retail Partner Four Loan Agreement</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In March 2025, the Company and a third party (“Northeast Retail Partner Four”) entered into a loan agreement pursuant to which the Company may provide, at its sole discretion, financing to Northeast Retail Partner Four, as amended (the “Northeast Retail Partner Four Loan Agreement”). Borrowings under the Northeast Retail Partner Four Loan Agreement bear interest at a rate of 20% per annum and are secured by substantially all of the then-current and future assets and equity interests of the borrower. The Northeast Retail Partner Four Loan Agreement provides for customary events of default, contains certain covenants and other restrictions, and has a ten-year term. The Northeast Retail Partner Four Loan Agreement also contains provisions and restrictive covenants that provide the Company with operational and financial influence over Northeast Retail Partner Four and the underlying operating agreement provides the Company with financial distributions based on the associated results of operations. The Company has a direct equity ownership interest of 35% of the equity interests in the borrower and, based on the terms and provisions of the Northeast Retail Partner Four Loan Agreement and associated agreements, determined that it has a variable interest in Northeast Retail Partner Four and that it is the primary beneficiary, and, therefore, met the criteria for consolidation as of such date. The non-controlling interest was determined to have a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 xml:space="preserve">fair value. Since the entity is consolidated as a VIE, the intercompany activity related to the Northeast Retail Partner Four Loan Agreement is eliminated in consolidation.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and Northeast Retail Partner Four entered into a definitive agreement to acquire an entity that received licensing approvals for the operation of an adult-use dispensary, subject to regulatory approval, for a total of $1,500 of cash consideration, of which $1,383 was allocated to the cost of the license and $117 was allocated to the security deposit for the associated lease which the Company assumed; refer to Note 10, “Leases,” for additional information regarding the Company’s lease arrangements. Additionally, the Company recorded an acquisition-related deferred tax liability of $607, which was allocated to the license as additional cost basis as of the effective date. Of the total consideration, $250 was paid as a deposit during the fourth quarter of 2024 and $250 was paid at signing. The remaining $1,000 was included as a sellers’ note as of March 31, 2026 and December 31, 2025 (refer to Note 11, “Debt”) and was subsequently paid in April 2026 in conjunction with the opening of the dispensary. The net loss attributable to the non-controlling interest was not significant during the three months ended March 31, 2026 and 2025.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Northeast Retail Partner Five Loan Agreement</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In March 2026, the Company and a third party (“Northeast Retail Partner Five”) entered into a loan agreement pursuant to which the Company may provide, at its sole discretion, financing to Northeast Retail Partner Five (the “Northeast Retail Partner Five Loan Agreement”). Borrowings under the Northeast Retail Partner Five Loan Agreement bear interest at a rate of 20% per annum and are secured by substantially all of the then-current and future assets and equity interests of the borrower. The Northeast Retail Partner Five Loan Agreement provides for customary events of default, contains certain covenants and other restrictions, and has a ten-year term. The Northeast Retail Partner Five Loan Agreement also contains provisions and restrictive covenants that provide the Company with operational and financial influence over Northeast Retail Partner Five and the underlying operating agreement provides the Company with financial distributions based on the associated results of operations. The Company has a direct equity ownership interest of 35% of the equity interests in the borrower and, based on the terms and provisions of the Northeast Retail Partner Five Loan Agreement and associated agreements, determined that it has a variable interest in Northeast Retail Partner Five and that it is the primary beneficiary, and, therefore, met the criteria for consolidation as of such date. The non-controlling interest was determined to have a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 xml:space="preserve">fair value. Since the entity is consolidated as a VIE, the intercompany activity related to the Northeast Retail Partner Five Loan Agreement is eliminated in consolidation. Together with Northeast Retail Partner Five, the Company anticipates opening Northeast Retail Partnership Dispensary Five, which is associated with a conditional adult-use license that was acquired but is not yet operational; refer to Note 4, “Acquisitions.” The net loss attributable to the non-controlling interest was not significant during the three months ended March 31,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Northeast Retail Partner Six Loan Agreement</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In March 2026, the Company and a third party (“Northeast Retail Partner Six”) entered into a loan agreement pursuant to which the Company may provide to Northeast Retail Partner Six financing (the “Northeast Retail Partner Six Loan Agreement”), at its sole discretion. Borrowings under the Northeast Retail Partner Six Loan Agreement bear interest at a rate of 20% per annum and are secured by substantially all of the then-current and future assets and equity interests of the borrower. The Northeast Retail Partner Six Loan Agreement provides for customary events of default, contains certain covenants and other restrictions, and has a ten-year term. The Northeast Retail Partner Six Loan Agreement also contains provisions and restrictive covenants that provide the Company with operational and financial influence over Northeast Retail Partner Six and the underlying operating agreement provides the Company with financial distributions based on the associated results of operations. The Company has a direct equity ownership interest of 35% of the equity interests in the borrower and, based on the terms and provisions of the Northeast Retail Partner Six Loan Agreement and associated agreements, determined that it has a variable interest in Northeast Retail Partner Six and that it is the primary beneficiary, and, therefore, met the criteria for consolidation as of such date. The non-controlling interest was determined to have a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 xml:space="preserve">fair value. Since the entity is consolidated as a VIE, the intercompany activity related to the Northeast Retail Partner Six Loan Agreement is eliminated in consolidation. Together with Northeast Retail Partner Six, the Company anticipates opening Northeast Retail Partnership Dispensary Five, which is associated with a conditional adult-use license that was acquired but is not yet operational; refer to Note 4, “Acquisitions.” The net loss attributable to the non-controlling interest was not significant during the three months ended March 31, 2026.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Financial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summarized financial information about the Company’s consolidated VIEs which are included in the unaudited Condensed Consolidated Balance Sheets as of March 31, 2026 and December 31, 2025 and in the unaudited Condensed Consolidated Statements of Operations for the three months ended March 31, 2026 and 2025, as applicable. Beginning in the fourth quarter of 2025, a previously consolidated VIE became wholly-owned following the closing of the underlying transaction and is therefore excluded from the balance sheet information as of March 31, 2026 and December 31, 2025, with the related results for 2025 included through such date. The information below excludes intercompany balances and activity that eliminate in consolidation and includes the related acquisition details disclosed in Note 4, “Acquisitions.” </w:t>
      </w:r>
    </w:p>
    <w:tbl>
      <w:tblPr>
        <w:tblW w:w="5907" w:type="dxa"/>
        <w:jc w:val="left"/>
        <w:tblInd w:w="0" w:type="dxa"/>
        <w:tblLayout w:type="fixed"/>
        <w:tblCellMar>
          <w:top w:w="28" w:type="dxa"/>
          <w:left w:w="28" w:type="dxa"/>
          <w:bottom w:w="28" w:type="dxa"/>
          <w:right w:w="28" w:type="dxa"/>
        </w:tblCellMar>
      </w:tblPr>
      <w:tblGrid>
        <w:gridCol w:w="859"/>
        <w:gridCol w:w="755"/>
        <w:gridCol w:w="756"/>
        <w:gridCol w:w="292"/>
        <w:gridCol w:w="998"/>
        <w:gridCol w:w="150"/>
        <w:gridCol w:w="109"/>
        <w:gridCol w:w="109"/>
        <w:gridCol w:w="109"/>
        <w:gridCol w:w="344"/>
        <w:gridCol w:w="1175"/>
        <w:gridCol w:w="251"/>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2097" w:type="dxa"/>
            <w:gridSpan w:val="6"/>
            <w:tcBorders/>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79,147 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67,711 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Deficit attributable to AWH</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074" w:type="dxa"/>
        <w:jc w:val="left"/>
        <w:tblInd w:w="0" w:type="dxa"/>
        <w:tblLayout w:type="fixed"/>
        <w:tblCellMar>
          <w:top w:w="28" w:type="dxa"/>
          <w:left w:w="28" w:type="dxa"/>
          <w:bottom w:w="28" w:type="dxa"/>
          <w:right w:w="28" w:type="dxa"/>
        </w:tblCellMar>
      </w:tblPr>
      <w:tblGrid>
        <w:gridCol w:w="429"/>
        <w:gridCol w:w="377"/>
        <w:gridCol w:w="378"/>
        <w:gridCol w:w="211"/>
        <w:gridCol w:w="721"/>
        <w:gridCol w:w="109"/>
        <w:gridCol w:w="109"/>
        <w:gridCol w:w="109"/>
        <w:gridCol w:w="109"/>
        <w:gridCol w:w="211"/>
        <w:gridCol w:w="721"/>
        <w:gridCol w:w="109"/>
        <w:gridCol w:w="109"/>
        <w:gridCol w:w="109"/>
        <w:gridCol w:w="109"/>
        <w:gridCol w:w="154"/>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9. INTANGIBLE ASSETS AND GOODWILL</w:t>
      </w:r>
    </w:p>
    <w:tbl>
      <w:tblPr>
        <w:tblW w:w="5891" w:type="dxa"/>
        <w:jc w:val="left"/>
        <w:tblInd w:w="0" w:type="dxa"/>
        <w:tblLayout w:type="fixed"/>
        <w:tblCellMar>
          <w:top w:w="28" w:type="dxa"/>
          <w:left w:w="28" w:type="dxa"/>
          <w:bottom w:w="28" w:type="dxa"/>
          <w:right w:w="28" w:type="dxa"/>
        </w:tblCellMar>
      </w:tblPr>
      <w:tblGrid>
        <w:gridCol w:w="853"/>
        <w:gridCol w:w="750"/>
        <w:gridCol w:w="752"/>
        <w:gridCol w:w="265"/>
        <w:gridCol w:w="1038"/>
        <w:gridCol w:w="137"/>
        <w:gridCol w:w="109"/>
        <w:gridCol w:w="109"/>
        <w:gridCol w:w="109"/>
        <w:gridCol w:w="313"/>
        <w:gridCol w:w="1228"/>
        <w:gridCol w:w="228"/>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 and permits</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282,745 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In-place leases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287,060 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290,225 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 and permits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(90,081)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(86,673)</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In-place leases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(97,561)</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(94,153)</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intangible assets, net</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189,499 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196,072 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pPr>
      <w:r>
        <w:rPr>
          <w:rFonts w:ascii="Times New Roman;serif" w:hAnsi="Times New Roman;serif"/>
          <w:b w:val="false"/>
          <w:color w:val="000000"/>
          <w:sz w:val="20"/>
        </w:rPr>
        <w:t>Amortization expense related to intangible assets was $6,807 and $6,614 during the three</w:t>
      </w:r>
      <w:r>
        <w:rPr>
          <w:color w:val="070707"/>
        </w:rPr>
        <w:t xml:space="preserve"> </w:t>
      </w:r>
      <w:r>
        <w:rPr>
          <w:rFonts w:ascii="Times New Roman;serif" w:hAnsi="Times New Roman;serif"/>
          <w:b w:val="false"/>
          <w:color w:val="070707"/>
          <w:sz w:val="20"/>
        </w:rPr>
        <w:t xml:space="preserve">months ended March 31, 2026 and 2025, respectively. Total amortization expense capitalized to inventory was $755 </w:t>
      </w:r>
      <w:r>
        <w:rPr>
          <w:rFonts w:ascii="Times New Roman;serif" w:hAnsi="Times New Roman;serif"/>
          <w:b w:val="false"/>
          <w:color w:val="000000"/>
          <w:sz w:val="20"/>
        </w:rPr>
        <w:t>during each of the three</w:t>
      </w:r>
      <w:r>
        <w:rPr>
          <w:color w:val="070707"/>
        </w:rPr>
        <w:t xml:space="preserve"> </w:t>
      </w:r>
      <w:r>
        <w:rPr>
          <w:rFonts w:ascii="Times New Roman;serif" w:hAnsi="Times New Roman;serif"/>
          <w:b w:val="false"/>
          <w:color w:val="070707"/>
          <w:sz w:val="20"/>
        </w:rPr>
        <w:t xml:space="preserve">months ended March 31, 2026 and 2025. </w:t>
      </w:r>
      <w:r>
        <w:rPr>
          <w:rFonts w:ascii="Times New Roman;serif" w:hAnsi="Times New Roman;serif"/>
          <w:b w:val="false"/>
          <w:color w:val="000000"/>
          <w:sz w:val="20"/>
        </w:rPr>
        <w:t>At March 31, 2026 and December 31, 2025, $295 and $399, respectively, of amortization expense remained capitalized as part of inventory. During the three</w:t>
      </w:r>
      <w:r>
        <w:rPr>
          <w:color w:val="070707"/>
        </w:rPr>
        <w:t xml:space="preserve"> </w:t>
      </w:r>
      <w:r>
        <w:rPr>
          <w:rFonts w:ascii="Times New Roman;serif" w:hAnsi="Times New Roman;serif"/>
          <w:b w:val="false"/>
          <w:color w:val="070707"/>
          <w:sz w:val="20"/>
        </w:rPr>
        <w:t xml:space="preserve">months ended March 31, 2026, the Company de-recognized an intangible asset with net book value of </w:t>
      </w:r>
      <w:r>
        <w:rPr>
          <w:rFonts w:ascii="Times New Roman;serif" w:hAnsi="Times New Roman;serif"/>
          <w:b w:val="false"/>
          <w:color w:val="000000"/>
          <w:sz w:val="20"/>
        </w:rPr>
        <w:t>$3,529, net of accumulated amortization of</w:t>
      </w:r>
      <w:r>
        <w:rPr>
          <w:color w:val="070707"/>
        </w:rPr>
        <w:t xml:space="preserve"> </w:t>
      </w:r>
      <w:r>
        <w:rPr>
          <w:rFonts w:ascii="Times New Roman;serif" w:hAnsi="Times New Roman;serif"/>
          <w:b w:val="false"/>
          <w:color w:val="000000"/>
          <w:sz w:val="20"/>
        </w:rPr>
        <w:t xml:space="preserve">$3,399; </w:t>
      </w:r>
      <w:r>
        <w:rPr>
          <w:rFonts w:ascii="Times New Roman;serif" w:hAnsi="Times New Roman;serif"/>
          <w:b w:val="false"/>
          <w:color w:val="070707"/>
          <w:sz w:val="20"/>
        </w:rPr>
        <w:t xml:space="preserve">refer to Note </w:t>
      </w:r>
      <w:r>
        <w:rPr>
          <w:rFonts w:ascii="Times New Roman;serif" w:hAnsi="Times New Roman;serif"/>
          <w:b w:val="false"/>
          <w:color w:val="000000"/>
          <w:sz w:val="20"/>
        </w:rPr>
        <w:t>4, “Acquisitions,”</w:t>
      </w:r>
      <w:r>
        <w:rPr>
          <w:color w:val="070707"/>
        </w:rPr>
        <w:t xml:space="preserve"> </w:t>
      </w:r>
      <w:r>
        <w:rPr>
          <w:rFonts w:ascii="Times New Roman;serif" w:hAnsi="Times New Roman;serif"/>
          <w:b w:val="false"/>
          <w:color w:val="070707"/>
          <w:sz w:val="20"/>
        </w:rPr>
        <w:t>for additional details regarding this transaction.</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Goodwill</w:t>
      </w:r>
    </w:p>
    <w:tbl>
      <w:tblPr>
        <w:tblW w:w="5012" w:type="dxa"/>
        <w:jc w:val="left"/>
        <w:tblInd w:w="0" w:type="dxa"/>
        <w:tblLayout w:type="fixed"/>
        <w:tblCellMar>
          <w:top w:w="28" w:type="dxa"/>
          <w:left w:w="28" w:type="dxa"/>
          <w:bottom w:w="28" w:type="dxa"/>
          <w:right w:w="28" w:type="dxa"/>
        </w:tblCellMar>
      </w:tblPr>
      <w:tblGrid>
        <w:gridCol w:w="1303"/>
        <w:gridCol w:w="1146"/>
        <w:gridCol w:w="1150"/>
        <w:gridCol w:w="109"/>
        <w:gridCol w:w="109"/>
        <w:gridCol w:w="109"/>
        <w:gridCol w:w="211"/>
        <w:gridCol w:w="721"/>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Adjustments to purchase price allocation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Refer to Note 4, “Acquisitions,” for additional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 impairment indicators were noted during the three months ended March 31, 2026 or 2025 and, as such, we did not record any impairment charges during either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10. LEASES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leases land, buildings, equipment, and other capital assets which it uses for corporate purposes and the production and sale of cannabis products with terms generally ranging from one to 20 years.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determine if an arrangement is a lease at inception and begin recording lease activity at the commencement date, which is generally the date in which we take possession of or control the physical use of the asset. ROU assets and lease liabilities are recognized based on the present value of lease payments over the lease term, with lease expense recognized on a straight-line basis. Lease agreements may contain rent escalation clauses, rent holidays, or certain landlord incentives, including tenant improvement allowances. ROU assets include amounts for scheduled rent increases and are reduced by lease incentive amounts. Certain of our lease agreements include variable rent payments, consisting primarily of rental payments adjusted periodically for inflation and amounts paid to the lessor based on cost or consumption, such as maintenance and utilities. Variable rent lease components are not included in the lease liability. We typically exclude options to extend the lease in a lease term unless it is reasonably certain that we will exercise the option and when doing so is at our sole discretion. Our lease agreements generally do not contain any material residual value guarantees or material restrictive covenants. We may rent or sublease to third parties certain real property assets that we no longer use.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lease assets and lease liabilities and their classification on the unaudited Condensed Consolidated Balance Sheets were as follows:</w:t>
      </w:r>
    </w:p>
    <w:tbl>
      <w:tblPr>
        <w:tblW w:w="10205" w:type="dxa"/>
        <w:jc w:val="left"/>
        <w:tblInd w:w="0" w:type="dxa"/>
        <w:tblLayout w:type="fixed"/>
        <w:tblCellMar>
          <w:top w:w="28" w:type="dxa"/>
          <w:left w:w="28" w:type="dxa"/>
          <w:bottom w:w="28" w:type="dxa"/>
          <w:right w:w="28" w:type="dxa"/>
        </w:tblCellMar>
      </w:tblPr>
      <w:tblGrid>
        <w:gridCol w:w="672"/>
        <w:gridCol w:w="545"/>
        <w:gridCol w:w="546"/>
        <w:gridCol w:w="109"/>
        <w:gridCol w:w="109"/>
        <w:gridCol w:w="109"/>
        <w:gridCol w:w="1470"/>
        <w:gridCol w:w="1470"/>
        <w:gridCol w:w="1473"/>
        <w:gridCol w:w="109"/>
        <w:gridCol w:w="109"/>
        <w:gridCol w:w="109"/>
        <w:gridCol w:w="254"/>
        <w:gridCol w:w="998"/>
        <w:gridCol w:w="131"/>
        <w:gridCol w:w="109"/>
        <w:gridCol w:w="109"/>
        <w:gridCol w:w="109"/>
        <w:gridCol w:w="293"/>
        <w:gridCol w:w="1152"/>
        <w:gridCol w:w="220"/>
      </w:tblGrid>
      <w:tr>
        <w:trPr/>
        <w:tc>
          <w:tcPr>
            <w:tcW w:w="67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126,356 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128,732 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173,720 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175,795 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current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and other lease financing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and other lease financing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243,813 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310,449 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310,054 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lease costs and classification within the unaudited Condensed Consolidated Statements of Operations were as follows:</w:t>
      </w:r>
    </w:p>
    <w:tbl>
      <w:tblPr>
        <w:tblW w:w="5980" w:type="dxa"/>
        <w:jc w:val="left"/>
        <w:tblInd w:w="0" w:type="dxa"/>
        <w:tblLayout w:type="fixed"/>
        <w:tblCellMar>
          <w:top w:w="28" w:type="dxa"/>
          <w:left w:w="28" w:type="dxa"/>
          <w:bottom w:w="28" w:type="dxa"/>
          <w:right w:w="28" w:type="dxa"/>
        </w:tblCellMar>
      </w:tblPr>
      <w:tblGrid>
        <w:gridCol w:w="1119"/>
        <w:gridCol w:w="985"/>
        <w:gridCol w:w="986"/>
        <w:gridCol w:w="211"/>
        <w:gridCol w:w="721"/>
        <w:gridCol w:w="109"/>
        <w:gridCol w:w="109"/>
        <w:gridCol w:w="109"/>
        <w:gridCol w:w="109"/>
        <w:gridCol w:w="211"/>
        <w:gridCol w:w="721"/>
        <w:gridCol w:w="109"/>
        <w:gridCol w:w="109"/>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 costs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to inventory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lease costs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 costs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leased assets</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finance lease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Included as a component of depreciation expense within “General and administrative expenses” on the accompanying unaudited Condensed Consolidated Statements of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March 31, 2026 and December 31, 2025, $2,148 and $5,297, respectively, of lease costs remained capitalized in inventory.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on short-term and variable lease costs:</w:t>
      </w:r>
    </w:p>
    <w:tbl>
      <w:tblPr>
        <w:tblW w:w="5905" w:type="dxa"/>
        <w:jc w:val="left"/>
        <w:tblInd w:w="0" w:type="dxa"/>
        <w:tblLayout w:type="fixed"/>
        <w:tblCellMar>
          <w:top w:w="28" w:type="dxa"/>
          <w:left w:w="28" w:type="dxa"/>
          <w:bottom w:w="28" w:type="dxa"/>
          <w:right w:w="28" w:type="dxa"/>
        </w:tblCellMar>
      </w:tblPr>
      <w:tblGrid>
        <w:gridCol w:w="1222"/>
        <w:gridCol w:w="1075"/>
        <w:gridCol w:w="1078"/>
        <w:gridCol w:w="211"/>
        <w:gridCol w:w="466"/>
        <w:gridCol w:w="109"/>
        <w:gridCol w:w="109"/>
        <w:gridCol w:w="109"/>
        <w:gridCol w:w="109"/>
        <w:gridCol w:w="211"/>
        <w:gridCol w:w="616"/>
        <w:gridCol w:w="109"/>
        <w:gridCol w:w="109"/>
        <w:gridCol w:w="109"/>
        <w:gridCol w:w="109"/>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and variable lease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Sublease income generated during the three months ended March 31, 2026 and 2025 was immaterial.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includes supplemental cash and non-cash information related to our leases:</w:t>
      </w:r>
    </w:p>
    <w:tbl>
      <w:tblPr>
        <w:tblW w:w="8154" w:type="dxa"/>
        <w:jc w:val="left"/>
        <w:tblInd w:w="0" w:type="dxa"/>
        <w:tblLayout w:type="fixed"/>
        <w:tblCellMar>
          <w:top w:w="28" w:type="dxa"/>
          <w:left w:w="28" w:type="dxa"/>
          <w:bottom w:w="28" w:type="dxa"/>
          <w:right w:w="28" w:type="dxa"/>
        </w:tblCellMar>
      </w:tblPr>
      <w:tblGrid>
        <w:gridCol w:w="2100"/>
        <w:gridCol w:w="1845"/>
        <w:gridCol w:w="1860"/>
        <w:gridCol w:w="211"/>
        <w:gridCol w:w="616"/>
        <w:gridCol w:w="109"/>
        <w:gridCol w:w="109"/>
        <w:gridCol w:w="109"/>
        <w:gridCol w:w="109"/>
        <w:gridCol w:w="211"/>
        <w:gridCol w:w="721"/>
        <w:gridCol w:w="154"/>
      </w:tblGrid>
      <w:tr>
        <w:trPr/>
        <w:tc>
          <w:tcPr>
            <w:tcW w:w="210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cash flows for 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Financing cash flows for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new lease obligations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weighted-average remaining lease term and discount rate:</w:t>
      </w:r>
    </w:p>
    <w:tbl>
      <w:tblPr>
        <w:tblW w:w="7225" w:type="dxa"/>
        <w:jc w:val="left"/>
        <w:tblInd w:w="0" w:type="dxa"/>
        <w:tblLayout w:type="fixed"/>
        <w:tblCellMar>
          <w:top w:w="28" w:type="dxa"/>
          <w:left w:w="28" w:type="dxa"/>
          <w:bottom w:w="28" w:type="dxa"/>
          <w:right w:w="28" w:type="dxa"/>
        </w:tblCellMar>
      </w:tblPr>
      <w:tblGrid>
        <w:gridCol w:w="1337"/>
        <w:gridCol w:w="1174"/>
        <w:gridCol w:w="1179"/>
        <w:gridCol w:w="319"/>
        <w:gridCol w:w="319"/>
        <w:gridCol w:w="801"/>
        <w:gridCol w:w="109"/>
        <w:gridCol w:w="109"/>
        <w:gridCol w:w="109"/>
        <w:gridCol w:w="360"/>
        <w:gridCol w:w="360"/>
        <w:gridCol w:w="1049"/>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remaining term (years)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amounts of future undiscounted cash flows related to the lease payments over the lease terms and the reconciliation to the present value of the lease liabilities as recorded on our unaudited Condensed Consolidated Balance Sheet as of March 31, 2026 are as follows:</w:t>
      </w:r>
    </w:p>
    <w:tbl>
      <w:tblPr>
        <w:tblW w:w="8027" w:type="dxa"/>
        <w:jc w:val="left"/>
        <w:tblInd w:w="0" w:type="dxa"/>
        <w:tblLayout w:type="fixed"/>
        <w:tblCellMar>
          <w:top w:w="28" w:type="dxa"/>
          <w:left w:w="28" w:type="dxa"/>
          <w:bottom w:w="28" w:type="dxa"/>
          <w:right w:w="28" w:type="dxa"/>
        </w:tblCellMar>
      </w:tblPr>
      <w:tblGrid>
        <w:gridCol w:w="1005"/>
        <w:gridCol w:w="884"/>
        <w:gridCol w:w="885"/>
        <w:gridCol w:w="492"/>
        <w:gridCol w:w="1683"/>
        <w:gridCol w:w="254"/>
        <w:gridCol w:w="109"/>
        <w:gridCol w:w="109"/>
        <w:gridCol w:w="109"/>
        <w:gridCol w:w="411"/>
        <w:gridCol w:w="1611"/>
        <w:gridCol w:w="212"/>
        <w:gridCol w:w="109"/>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24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9,446 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27,007 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548,939 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139,733 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725,549 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75,985 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478,848 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Present value of lease liabilities</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63,748 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246,701 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 Leaseback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cash payments due under transactions that did not qualify for sale-leaseback treatment. The cash payments are allocated between interest and liability reduction, as applicable. The “sold” assets remain within land, buildings, and leasehold improvements, as appropriate, for the duration of the lease. A lease financing liability equal to the amount of proceeds received is recorded within “Finance lease and other lease financing liabilities, non-current” on the unaudited Condensed Consolidated Balance Sheets, and totaled $18,100 as of each of March 31, 2026 and December 31, 2025.</w:t>
      </w:r>
    </w:p>
    <w:tbl>
      <w:tblPr>
        <w:tblW w:w="10205" w:type="dxa"/>
        <w:jc w:val="left"/>
        <w:tblInd w:w="0" w:type="dxa"/>
        <w:tblLayout w:type="fixed"/>
        <w:tblCellMar>
          <w:top w:w="28" w:type="dxa"/>
          <w:left w:w="28" w:type="dxa"/>
          <w:bottom w:w="28" w:type="dxa"/>
          <w:right w:w="28" w:type="dxa"/>
        </w:tblCellMar>
      </w:tblPr>
      <w:tblGrid>
        <w:gridCol w:w="405"/>
        <w:gridCol w:w="293"/>
        <w:gridCol w:w="294"/>
        <w:gridCol w:w="109"/>
        <w:gridCol w:w="109"/>
        <w:gridCol w:w="109"/>
        <w:gridCol w:w="240"/>
        <w:gridCol w:w="704"/>
        <w:gridCol w:w="126"/>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30"/>
        <w:gridCol w:w="671"/>
        <w:gridCol w:w="120"/>
        <w:gridCol w:w="109"/>
        <w:gridCol w:w="109"/>
        <w:gridCol w:w="109"/>
        <w:gridCol w:w="211"/>
        <w:gridCol w:w="721"/>
        <w:gridCol w:w="157"/>
      </w:tblGrid>
      <w:tr>
        <w:trPr/>
        <w:tc>
          <w:tcPr>
            <w:tcW w:w="40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Remainder 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due under financing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11. DEBT</w:t>
      </w:r>
    </w:p>
    <w:tbl>
      <w:tblPr>
        <w:tblW w:w="7121" w:type="dxa"/>
        <w:jc w:val="left"/>
        <w:tblInd w:w="0" w:type="dxa"/>
        <w:tblLayout w:type="fixed"/>
        <w:tblCellMar>
          <w:top w:w="28" w:type="dxa"/>
          <w:left w:w="28" w:type="dxa"/>
          <w:bottom w:w="28" w:type="dxa"/>
          <w:right w:w="28" w:type="dxa"/>
        </w:tblCellMar>
      </w:tblPr>
      <w:tblGrid>
        <w:gridCol w:w="1297"/>
        <w:gridCol w:w="1143"/>
        <w:gridCol w:w="1145"/>
        <w:gridCol w:w="265"/>
        <w:gridCol w:w="1038"/>
        <w:gridCol w:w="137"/>
        <w:gridCol w:w="109"/>
        <w:gridCol w:w="109"/>
        <w:gridCol w:w="109"/>
        <w:gridCol w:w="313"/>
        <w:gridCol w:w="1228"/>
        <w:gridCol w:w="228"/>
      </w:tblGrid>
      <w:tr>
        <w:trPr/>
        <w:tc>
          <w:tcPr>
            <w:tcW w:w="129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2024 Term Notes</w:t>
            </w:r>
            <w:r>
              <w:rPr>
                <w:rFonts w:ascii="Times New Roman;serif" w:hAnsi="Times New Roman;serif"/>
                <w:b w:val="false"/>
                <w:color w:val="000000"/>
                <w:sz w:val="13"/>
              </w:rPr>
              <w:t>(1)</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Sellers’ notes</w:t>
            </w:r>
            <w:r>
              <w:rPr>
                <w:rFonts w:ascii="Times New Roman;serif" w:hAnsi="Times New Roman;serif"/>
                <w:b w:val="false"/>
                <w:color w:val="000000"/>
                <w:sz w:val="13"/>
              </w:rPr>
              <w:t>(2)</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Mortgage Note</w:t>
            </w:r>
            <w:r>
              <w:rPr>
                <w:rFonts w:ascii="Times New Roman;serif" w:hAnsi="Times New Roman;serif"/>
                <w:b w:val="false"/>
                <w:color w:val="000000"/>
                <w:sz w:val="13"/>
              </w:rPr>
              <w:t>(3)</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318,881 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319,520 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deferred financing costs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portion of debt, net</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10,368 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309,082 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309,133 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deferred financing costs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Long-term debt, net</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292,309 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291,104 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On July 16, 2024, the Company issued $235,000 in aggregate principal of senior secured notes due July 16, 2029 (the “July 2024 Term Notes”) through a private placement (the “2024 Notes Offering”). The July 2024 Term Notes were issued pursuant to an indenture agreement (the “July 2024 Loan Agreement”). The July 2024 Term Notes were issued at 94.75% of face value and do not require scheduled principal amortization payments. The total of the original issue discount and other capitalized direct financing fees was approximately $21,200 and will be amortized over the associated term using the straight-line method, which approximates the interest method. The Company utilized the proceeds from the 2024 Notes Offering, along with cash on hand, to prepay $215,000 of borrowings outstanding under a credit agreement and term loans the Company entered into in August 2021 and fully repaid in 2025 (the “2021 Credit Facility”). The July 2024 Term Notes were funded by a combination of new and existing lenders. Borrowings from these existing lenders were accounted for as a modification of existing debt. The Company incurred approximately $3,600 of other expenses associated with this transaction that were not capitalizable.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In January 2025, the Company borrowed an additional $15,000 through the issuance of additional term notes (the “January 2025 Term Notes”). The January 2025 Term Notes were issued at 97% of face value and are subject to the same terms and provisions of the July 2024 Loan Agreement, including the interest rate and maturity date thereunder, as further described below. The January 2025 Term Notes were funded by existing lenders and met the criteria for modification accounting treatment. The total of the original issue discount and other capitalized direct financing fees was approximately $700 and will be amortized over the associated term using the straight-line method, which approximates the interest method. The Company incurred $400 of other expenses associated with this transaction that were not capitalizable and were included within “General and administrative expenses” on the unaudited Condensed Consolidated Statements of Operations for the three months ended March 31, 2025. The Company utilized the net proceeds from the January 2025 Term Notes primarily for general corporate purposes, including to fund growth initiatives.</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In May 2025, the Company borrowed an additional $50,000 through the issuance of additional term loans (the “May 2025 Term Notes,” and, together with the July 2024 Term Notes and January 2025 Term Notes, the “2024 Term Notes”). The May 2025 Term Notes were issued at 97.5% of face value and are subject to the same terms and provisions of the July 2024 Loan Agreement, including the interest rate and maturity date thereunder, as further described below. The May 2025 Term Notes were funded by existing lenders and met the criteria for modification accounting treatment. The total of the original issue discount and other capitalized direct financing fees was approximately $1,600 and will be amortized over the associated term using the straight-line method, which approximates the interest method. The Company incurred approximately $700 of other expenses associated with this transaction that were not capitalizable and were included within “General and administrative expenses” on the unaudited Condensed Consolidated Statements of Operations for that period. The Company utilized the net proceeds from the May 2025 Term Notes, along with cash on hand, to prepay the remaining $60,000 of borrowings outstanding under the 2021 Credit Facility, as further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The 2024 Term Notes bear interest at a rate of 12.75% per annum, payable semi-annually in arrears on January 15 and July 15 of each year until the maturity date, commencing on January 15, 2025, unless earlier prepaid in accordance with the terms of the July 2024 Loan Agreement. In conjunction with the May 2025 Term Notes, those lenders prepaid $2,323 of accrued interest from the January 15 interest payment date through issuance, and, in turn, received interest for the full interest payment period that was payable on July 15, 2025. The 2024 Term Notes are irrevocably and unconditionally guaranteed, jointly and severally, on a senior secured basis by certain of the Company’s subsidiaries (the “Guarantees”). The 2024 Term Notes and the Guarantees are (i) secured, on a first lien basis, by substantially all assets of the Company and the guarantors of the 2024 Term Notes, subject to certain carveouts, and (ii) issued and governed by the July 2024 Loan Agreement. In addition, subject to certain limitations, the July 2024 Loan Agreement permits the Company to issue additional notes thereunder, and provided for up to an additional $60,000 in aggregate principal with the proceeds therefrom to be used to prepay the remaining outstanding balance under, and to terminate, the 2021 Credit Facility. In May 2025, the Company issued an additional $50,000 of term loans pursuant to this provision, as described above.</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The Company may, at any time and from time to time upon not less than 15 nor more than 60 days’ prior notice, prepay the 2024 Term Notes, along with accrued and unpaid interest, subject to a prepayment premium equal to: zero through July 15, 2026, 4.5% if paid between July 16, 2026 through July 15, 2027, 3.0% if paid between July 16, 2027 through July 15, 2028, and zero if paid July 16, 2028 and thereafter. The July 2024 Loan Agreement requires mandatory prepayments from proceeds of certain events. In the event of a change of control, as provided in the July 2024 Loan Agreement, the Company will be required to make an offer to each holder of the 2024 Term Notes to repay all or any part of such holders’ 2024 Term Notes at a price in cash equal to not less than 101% of the aggregate principal amount of such 2024 Term Notes repaid, plus accrued and unpaid interest thereon.</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Pursuant to the July 2024 Loan Agreement, the Company has agreed to comply with certain customary covenants, including, but not limited to, restrictions on the Company’s ability to: declare or pay dividends or make certain other payments; purchase, redeem, or otherwise purchase or retire for value any equity interests or any subordinated indebtedness or otherwise make any restricted investment or restricted payment; incur certain indebtedness; create certain liens; consolidate, amalgamate, merge, or transfer all or substantially all of the assets of the Company and certain restricted subsidiaries taken as a whole; enter into certain transactions with affiliates; and engage in certain types of businesses. Additionally, the July 2024 Loan Agreement provides for customary events of default which, if certain of them occur, would permit certain parties, including holders of not less than 25% in aggregate principal of the then-outstanding 2024 Term Notes to declare the principal of, and interest or premium, if any, and any other monetary obligations on, all the then-outstanding 2024 Term Notes to be due and payable immediately. In January 2025, the July 2024 Loan Agreement was amended to modify certain terms and provisions, which amended terms and provisions were not due to actual or anticipated covenant violations. The July 2024 Loan Agreement, as amended, requires the Company, on a consolidated basis, to maintain liquidity, consisting of cash and/or cash equivalents plus any future revolving credit availability, as of the last day of each fiscal month in an aggregate amount of at least $20,000, with which the Company was in compliance as of March 31, 2026. The Company is required to comply with certain other financial covenants in contemplation of certain transactions or events, such as acquisitions and other financing activities, if and as applicable, as defined within and provided for under the July 2024 Loan Agreement, as amended.</w:t>
      </w:r>
    </w:p>
    <w:p>
      <w:pPr>
        <w:pStyle w:val="TextBody"/>
        <w:bidi w:val="0"/>
        <w:spacing w:lineRule="auto" w:line="288" w:before="0" w:after="12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 xml:space="preserve">Sellers’ notes consist of amounts owed for acquisitions or other purchases and are included within Current portion of debt, net as of March 31, 2026 and December 31, 2025; refer to Note 4, “Acquisitions,” and Note 8, “Variable Interest Entities.” for additional information regarding the underlying transactions. As of March 31, 2026 and December 31, 2025, sellers’ notes included the OPA Sellers’ Note which had a balance of $2,000, and is included in “Current portion of debt, net” as of each date. Additionally, as of March 31, 2026 and December 31, 2025, sellers’ notes includes a total of $6,608 and $6,800, respectively, related to acquisitions associated with Midwest Retail Partner One, and includes $1,000 related to other acquisitions as of each date. The balance as of December 31, 2025 also includes $400 that was paid in February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On September 29, 2025, certain of the Company’s subsidiaries (the “Borrowing Subsidiaries”) entered into a loan agreement and related promissory note with an aggregate principal amount of $9,345 (the “Mortgage Note”), which was borrowed in full. The Company anticipates utilizing the net proceeds for general corporate purposes, including to fund growth initiatives. The Mortgage Note matures on September 29, 2030 and borrowings thereunder bear interest at a rate of 8.5% per annum. Monthly payments of principal and interest commenced on November 1, 2025. Principal will be repaid based on an amortization period of twenty years and any unpaid principal and accrued interest will be due and payable upon maturity. As of March 31, 2026 and December 31, 2025, $191 and $187, respectively, of principal is included within “Current portion of debt, net” and $9,082 and $9,133, respectively, is included within “Long-term debt, net” on the unaudited Condensed Consolidated Balance Sheets. The Company incurred $102 of direct financing fees associated with the Mortgage Note, which will be amortized over the respective term. The obligations under the Mortgage Note are secured by mortgages on three properties that the Company owns in Ohio, as well as assignment of any leases and rent amounts related to these properties that the Company may enter into. The Mortgage Note contains customary representations and events of default. The Borrowing Subsidiaries have agreed to comply with certain customary covenants, including, but not limited to, restrictions on their ability to: incur additional indebtedness; create certain liens; make material changes to the nature of the business conducted; and sell, lease, transfer, or otherwise dispose of all or a substantial part of their assets. The Mortgage Note also requires the Borrowing Subsidiaries to maintain a debt service coverage ratio (as defined in the Mortgage Note) of not less than 1.30 to 1.00 measured annually based on the entire calendar year and commencing on December 31, 2026.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Debt Maturities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following cash payments are required under our debt arrangements: </w:t>
      </w:r>
    </w:p>
    <w:tbl>
      <w:tblPr>
        <w:tblW w:w="9798" w:type="dxa"/>
        <w:jc w:val="left"/>
        <w:tblInd w:w="0" w:type="dxa"/>
        <w:tblLayout w:type="fixed"/>
        <w:tblCellMar>
          <w:top w:w="28" w:type="dxa"/>
          <w:left w:w="28" w:type="dxa"/>
          <w:bottom w:w="28" w:type="dxa"/>
          <w:right w:w="28" w:type="dxa"/>
        </w:tblCellMar>
      </w:tblPr>
      <w:tblGrid>
        <w:gridCol w:w="651"/>
        <w:gridCol w:w="574"/>
        <w:gridCol w:w="575"/>
        <w:gridCol w:w="109"/>
        <w:gridCol w:w="109"/>
        <w:gridCol w:w="109"/>
        <w:gridCol w:w="387"/>
        <w:gridCol w:w="1134"/>
        <w:gridCol w:w="203"/>
        <w:gridCol w:w="109"/>
        <w:gridCol w:w="109"/>
        <w:gridCol w:w="109"/>
        <w:gridCol w:w="211"/>
        <w:gridCol w:w="406"/>
        <w:gridCol w:w="109"/>
        <w:gridCol w:w="109"/>
        <w:gridCol w:w="109"/>
        <w:gridCol w:w="109"/>
        <w:gridCol w:w="211"/>
        <w:gridCol w:w="406"/>
        <w:gridCol w:w="109"/>
        <w:gridCol w:w="109"/>
        <w:gridCol w:w="109"/>
        <w:gridCol w:w="109"/>
        <w:gridCol w:w="282"/>
        <w:gridCol w:w="544"/>
        <w:gridCol w:w="109"/>
        <w:gridCol w:w="109"/>
        <w:gridCol w:w="109"/>
        <w:gridCol w:w="109"/>
        <w:gridCol w:w="211"/>
        <w:gridCol w:w="406"/>
        <w:gridCol w:w="109"/>
        <w:gridCol w:w="109"/>
        <w:gridCol w:w="109"/>
        <w:gridCol w:w="109"/>
        <w:gridCol w:w="109"/>
        <w:gridCol w:w="109"/>
        <w:gridCol w:w="211"/>
        <w:gridCol w:w="61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Remainder 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Sellers’ notes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Mortgage Note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note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Certain cash payments include an interest accretion component. The timing of certain payments may vary based on regulatory approval of the underlying transactions.</w:t>
      </w:r>
    </w:p>
    <w:p>
      <w:pPr>
        <w:pStyle w:val="TextBody"/>
        <w:bidi w:val="0"/>
        <w:spacing w:lineRule="auto" w:line="288" w:before="0" w:after="18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 xml:space="preserve">Principal payments due under the Mortgage Note.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during the three months ended March 31, 2026 and 2025 consisted of the following:</w:t>
      </w:r>
    </w:p>
    <w:tbl>
      <w:tblPr>
        <w:tblW w:w="5679" w:type="dxa"/>
        <w:jc w:val="left"/>
        <w:tblInd w:w="0" w:type="dxa"/>
        <w:tblLayout w:type="fixed"/>
        <w:tblCellMar>
          <w:top w:w="28" w:type="dxa"/>
          <w:left w:w="28" w:type="dxa"/>
          <w:bottom w:w="28" w:type="dxa"/>
          <w:right w:w="28" w:type="dxa"/>
        </w:tblCellMar>
      </w:tblPr>
      <w:tblGrid>
        <w:gridCol w:w="1011"/>
        <w:gridCol w:w="887"/>
        <w:gridCol w:w="891"/>
        <w:gridCol w:w="211"/>
        <w:gridCol w:w="721"/>
        <w:gridCol w:w="109"/>
        <w:gridCol w:w="109"/>
        <w:gridCol w:w="109"/>
        <w:gridCol w:w="109"/>
        <w:gridCol w:w="211"/>
        <w:gridCol w:w="721"/>
        <w:gridCol w:w="109"/>
        <w:gridCol w:w="109"/>
        <w:gridCol w:w="109"/>
        <w:gridCol w:w="109"/>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on financing liabilities</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Interest on financing liabilities related to failed sale leaseback transactions. See Note 10, “Leases,”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12. STOCKHOLDERS’ EQUITY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authorized 750,000 shares of Class A common stock with a par value of $0.001 per share and 10,000 shares of preferred stock with a par value of $0.001 per share. As of March 31, 2026, the Company also had authorized 100 shares of Class B common stock with a par value of $0.001 per share, of which 65 shares were issued and outstanding. Holders of each share of Class A common stock are entitled to one vote per share and holders of Class B common stock are entitled to 1,000 votes per share. Holders of Class A common stock and Class B common stock will vote together as a single class on all matters (including the election of directors) submitted to a vote of stockholders, unless otherwise required by law or our certificate of incorporation. Each share of Class B common stock is convertible at any time into one share of Class A common stock at the option of the holder.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4, 2026, in accordance with the automatic conversion provisions of the Company’s certificate of incorporation, each share of Class B common stock then outstanding automatically converted into one share of Class A common stock on a one-for-one basis. Accordingly, all 65 shares of Class B common stock that were issued and outstanding were converted and retired effective May 4, 2026. Effective May 5, 2026, following such automatic conversion and the filing of a Certificate of Retirement with the Secretary of State of the State of Delaware, the total number of authorized shares of the Company's common stock decreased from 750,100 to 750,035 and the number of authorized shares of Class B common stock decreased from 100 to 35. As disclosed in the Company's prospectus for its initial public offering and in subsequent periodic reports, no further shares of Class B common stock will be issued.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shares of Class A common stock and Class B common stock outstanding as of March 31, 2026 and December 31, 2025:</w:t>
      </w:r>
    </w:p>
    <w:tbl>
      <w:tblPr>
        <w:tblW w:w="6280" w:type="dxa"/>
        <w:jc w:val="left"/>
        <w:tblInd w:w="0" w:type="dxa"/>
        <w:tblLayout w:type="fixed"/>
        <w:tblCellMar>
          <w:top w:w="28" w:type="dxa"/>
          <w:left w:w="28" w:type="dxa"/>
          <w:bottom w:w="28" w:type="dxa"/>
          <w:right w:w="28" w:type="dxa"/>
        </w:tblCellMar>
      </w:tblPr>
      <w:tblGrid>
        <w:gridCol w:w="994"/>
        <w:gridCol w:w="874"/>
        <w:gridCol w:w="877"/>
        <w:gridCol w:w="479"/>
        <w:gridCol w:w="479"/>
        <w:gridCol w:w="481"/>
        <w:gridCol w:w="109"/>
        <w:gridCol w:w="109"/>
        <w:gridCol w:w="109"/>
        <w:gridCol w:w="517"/>
        <w:gridCol w:w="517"/>
        <w:gridCol w:w="735"/>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Class A common stock</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202,760 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202,152 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Class B common stock</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4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202,217</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2024, the Company’s board of directors (the “Board”) authorized a share buyback program (the “Buyback Program”) which permitted the Company to repurchase up to the lesser of: (i) 10,216 shares of the Company’s Class A common stock; and (ii) $2,250 worth of shares of Class A common stock, in the open market pursuant to a normal course issuer bid, subject to applicable legal, regulatory, and contractual requirements. The Buyback Program expired on January 1, 2026. Through December 31, 2025, a total of 4,801 shares were purchased under the Buyback Program for an aggregate cost, inclusive of fees, of $2,311, thereby utilizing the total permitted under the Buyback Program for the cost basis of the purchases, and no share purchases remain available under the Buyback Program. The shares purchased through the Buyback Program were retired.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warrants activity during the three months ended March 31, 2026:</w:t>
      </w:r>
    </w:p>
    <w:tbl>
      <w:tblPr>
        <w:tblW w:w="10205" w:type="dxa"/>
        <w:jc w:val="left"/>
        <w:tblInd w:w="0" w:type="dxa"/>
        <w:tblLayout w:type="fixed"/>
        <w:tblCellMar>
          <w:top w:w="28" w:type="dxa"/>
          <w:left w:w="28" w:type="dxa"/>
          <w:bottom w:w="28" w:type="dxa"/>
          <w:right w:w="28" w:type="dxa"/>
        </w:tblCellMar>
      </w:tblPr>
      <w:tblGrid>
        <w:gridCol w:w="608"/>
        <w:gridCol w:w="535"/>
        <w:gridCol w:w="536"/>
        <w:gridCol w:w="109"/>
        <w:gridCol w:w="109"/>
        <w:gridCol w:w="109"/>
        <w:gridCol w:w="408"/>
        <w:gridCol w:w="408"/>
        <w:gridCol w:w="410"/>
        <w:gridCol w:w="109"/>
        <w:gridCol w:w="109"/>
        <w:gridCol w:w="109"/>
        <w:gridCol w:w="531"/>
        <w:gridCol w:w="1288"/>
        <w:gridCol w:w="276"/>
        <w:gridCol w:w="109"/>
        <w:gridCol w:w="109"/>
        <w:gridCol w:w="109"/>
        <w:gridCol w:w="813"/>
        <w:gridCol w:w="813"/>
        <w:gridCol w:w="815"/>
        <w:gridCol w:w="109"/>
        <w:gridCol w:w="109"/>
        <w:gridCol w:w="109"/>
        <w:gridCol w:w="395"/>
        <w:gridCol w:w="761"/>
        <w:gridCol w:w="300"/>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Warrants</w:t>
            </w:r>
          </w:p>
          <w:p>
            <w:pPr>
              <w:pStyle w:val="TableContents"/>
              <w:bidi w:val="0"/>
              <w:spacing w:lineRule="auto" w:line="240" w:before="0" w:after="0"/>
              <w:jc w:val="center"/>
              <w:rPr>
                <w:rFonts w:ascii="Times New Roman;serif" w:hAnsi="Times New Roman;serif"/>
                <w:b/>
                <w:i/>
                <w:color w:val="000000"/>
                <w:sz w:val="18"/>
              </w:rPr>
            </w:pPr>
            <w:r>
              <w:rPr>
                <w:rFonts w:ascii="Times New Roman;serif" w:hAnsi="Times New Roman;serif"/>
                <w:b/>
                <w:i/>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 Remaining Exercise Period</w:t>
            </w:r>
          </w:p>
          <w:p>
            <w:pPr>
              <w:pStyle w:val="TableContents"/>
              <w:bidi w:val="0"/>
              <w:spacing w:lineRule="auto" w:line="240" w:before="0" w:after="0"/>
              <w:jc w:val="center"/>
              <w:rPr>
                <w:rFonts w:ascii="Times New Roman;serif" w:hAnsi="Times New Roman;serif"/>
                <w:b/>
                <w:i/>
                <w:color w:val="000000"/>
                <w:sz w:val="18"/>
              </w:rPr>
            </w:pPr>
            <w:r>
              <w:rPr>
                <w:rFonts w:ascii="Times New Roman;serif" w:hAnsi="Times New Roman;serif"/>
                <w:b/>
                <w:i/>
                <w:color w:val="000000"/>
                <w:sz w:val="18"/>
              </w:rP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Intrinsic Value</w:t>
            </w:r>
          </w:p>
          <w:p>
            <w:pPr>
              <w:pStyle w:val="TableContents"/>
              <w:bidi w:val="0"/>
              <w:spacing w:lineRule="auto" w:line="240" w:before="0" w:after="0"/>
              <w:jc w:val="center"/>
              <w:rPr/>
            </w:pPr>
            <w:r>
              <w:rPr>
                <w:rFonts w:ascii="Times New Roman;serif" w:hAnsi="Times New Roman;serif"/>
                <w:b/>
                <w:i/>
                <w:color w:val="000000"/>
                <w:sz w:val="18"/>
              </w:rPr>
              <w:t>(in thousands)</w:t>
            </w:r>
            <w:r>
              <w:rPr>
                <w:rFonts w:ascii="Times New Roman;serif" w:hAnsi="Times New Roman;serif"/>
                <w:b/>
                <w:color w:val="000000"/>
                <w:sz w:val="12"/>
              </w:rPr>
              <w:t>(1)</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Outstanding, March 31, 2026</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Based on the amount by which the closing market price of our Class A common stock exceeds the exercise price on each date indicated.</w:t>
      </w:r>
    </w:p>
    <w:p>
      <w:pPr>
        <w:pStyle w:val="TextBody"/>
        <w:bidi w:val="0"/>
        <w:spacing w:lineRule="auto" w:line="288" w:before="0" w:after="12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The warrants outstanding as of March 31, 2026 are equity-classified instruments, are subject to customary anti-dilution adjustments, and are stand-alone instruments. The fair value per warrant was calculated at issuance using a Black-Scholes model, resulting in a value of $0.84 per warrant. Significant assumptions used in the calculations included a volatility of 70.0% and a risk-free rate of 3.0%. No warrants were exercised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13. EQUITY-BASED COMPENSATION EXPENSE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Equity Incentive Plans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2021, the Company adopted a stock incentive plan (the “2021 Plan”), pursuant to which 17,000 shares of Class A common stock are reserved for issuance thereunder, subject to certain adjustments and other terms. Following the adoption of the 2021 Plan, no additional awards are expected to be issued under the Company’s previous stock incentive plan, pursuant to which there are no remaining unvested awards. The 2021 Plan authorized the issuance of stock options, stock appreciation rights (“SAR Awards”), restricted stock awards (“RSAs”), restricted stock units (“RSUs”), and other stock-based awards (collectively the “2021 Plan Awards”). Any 2021 Plan Awards that expire or are forfeited may be re-issued. The estimated fair value of the 2021 Plan Awards at issuance is recognized as compensation expense over the related vesting, exercise, or service periods, as applicable.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9, 2023, the Company’s board of directors unanimously approved, subject to stockholder approval, an amendment to the 2021 Plan (the “Amendment” and together with the 2021 Plan, the “Amended 2021 Plan”) to increase the maximum number of shares of Class A common stock available for issuance under the Amended 2021 Plan to an amount not to exceed 10% of the total number of issued and outstanding shares of Class A common stock, on a non-diluted basis, as constituted on the grant date of an award pursuant to the Amended 2021 Plan. On May 5, 2023, the stockholders of the Company voted to approve the Amendment, and on April 29, 2026, the stockholders of the Company voted to reapprove the Amended 2021 Plan in accordance with the policies of the CSE. As of March 31, 2026, there were 6,559 shares of Class A common stock available for grant for future equity-based compensation awards under the Amended 2021 Plan. Activity related to awards issued under the Amended 2021 Plan is further described below. As of March 31, 2026, no SAR Awards and no RSAs had been granted under the Amended 2021 Plan. </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during the three months ended March 31, 2026:</w:t>
      </w:r>
    </w:p>
    <w:tbl>
      <w:tblPr>
        <w:tblW w:w="10205" w:type="dxa"/>
        <w:jc w:val="left"/>
        <w:tblInd w:w="0" w:type="dxa"/>
        <w:tblLayout w:type="fixed"/>
        <w:tblCellMar>
          <w:top w:w="28" w:type="dxa"/>
          <w:left w:w="28" w:type="dxa"/>
          <w:bottom w:w="28" w:type="dxa"/>
          <w:right w:w="28" w:type="dxa"/>
        </w:tblCellMar>
      </w:tblPr>
      <w:tblGrid>
        <w:gridCol w:w="779"/>
        <w:gridCol w:w="485"/>
        <w:gridCol w:w="489"/>
        <w:gridCol w:w="109"/>
        <w:gridCol w:w="109"/>
        <w:gridCol w:w="109"/>
        <w:gridCol w:w="360"/>
        <w:gridCol w:w="360"/>
        <w:gridCol w:w="361"/>
        <w:gridCol w:w="109"/>
        <w:gridCol w:w="109"/>
        <w:gridCol w:w="109"/>
        <w:gridCol w:w="531"/>
        <w:gridCol w:w="1287"/>
        <w:gridCol w:w="276"/>
        <w:gridCol w:w="109"/>
        <w:gridCol w:w="109"/>
        <w:gridCol w:w="109"/>
        <w:gridCol w:w="822"/>
        <w:gridCol w:w="822"/>
        <w:gridCol w:w="824"/>
        <w:gridCol w:w="109"/>
        <w:gridCol w:w="109"/>
        <w:gridCol w:w="109"/>
        <w:gridCol w:w="320"/>
        <w:gridCol w:w="938"/>
        <w:gridCol w:w="243"/>
      </w:tblGrid>
      <w:tr>
        <w:trPr/>
        <w:tc>
          <w:tcPr>
            <w:tcW w:w="77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Options Outstanding</w:t>
            </w:r>
          </w:p>
        </w:tc>
      </w:tr>
      <w:tr>
        <w:trPr/>
        <w:tc>
          <w:tcPr>
            <w:tcW w:w="1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Weighted-Average Remaining Contractual Life </w:t>
            </w:r>
          </w:p>
          <w:p>
            <w:pPr>
              <w:pStyle w:val="TableContents"/>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Aggregate Intrinsic Value</w:t>
            </w:r>
            <w:r>
              <w:rPr>
                <w:rFonts w:ascii="Times New Roman;serif" w:hAnsi="Times New Roman;serif"/>
                <w:b/>
                <w:color w:val="000000"/>
                <w:sz w:val="13"/>
              </w:rPr>
              <w:t>(1)</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Exercisable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Based on the amount by which the closing market price of our Class A common stock exceeds the exercise price on each date indicated.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unrecognized stock-based compensation expense related to unvested options was $654 as of March 31, 2026, which is expected to be recognized over a weighted-average remaining period of 1.0 years.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determine the fair value of stock options on the grant date using a Black-Scholes option pricing model. The weighted-average fair value of stock options granted during the three months ended March 31, 2026 was $0.24 per share and was calculated on the date of grant using weighted-average assumptions that included a risk-free interest rate of 3.6%, an expected term of 3.75 years, no dividend yield, and an expected volatility of 70.0%.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RSU activity during the three months ended March 31, 2026:</w:t>
      </w:r>
    </w:p>
    <w:tbl>
      <w:tblPr>
        <w:tblW w:w="9056" w:type="dxa"/>
        <w:jc w:val="left"/>
        <w:tblInd w:w="0" w:type="dxa"/>
        <w:tblLayout w:type="fixed"/>
        <w:tblCellMar>
          <w:top w:w="28" w:type="dxa"/>
          <w:left w:w="28" w:type="dxa"/>
          <w:bottom w:w="28" w:type="dxa"/>
          <w:right w:w="28" w:type="dxa"/>
        </w:tblCellMar>
      </w:tblPr>
      <w:tblGrid>
        <w:gridCol w:w="923"/>
        <w:gridCol w:w="811"/>
        <w:gridCol w:w="816"/>
        <w:gridCol w:w="539"/>
        <w:gridCol w:w="539"/>
        <w:gridCol w:w="541"/>
        <w:gridCol w:w="109"/>
        <w:gridCol w:w="109"/>
        <w:gridCol w:w="109"/>
        <w:gridCol w:w="1097"/>
        <w:gridCol w:w="2659"/>
        <w:gridCol w:w="804"/>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w:t>
            </w:r>
          </w:p>
          <w:p>
            <w:pPr>
              <w:pStyle w:val="TableContents"/>
              <w:bidi w:val="0"/>
              <w:spacing w:lineRule="auto" w:line="240" w:before="0" w:after="0"/>
              <w:jc w:val="center"/>
              <w:rPr>
                <w:rFonts w:ascii="Times New Roman;serif" w:hAnsi="Times New Roman;serif"/>
                <w:b/>
                <w:i/>
                <w:color w:val="000000"/>
                <w:sz w:val="18"/>
              </w:rPr>
            </w:pPr>
            <w:r>
              <w:rPr>
                <w:rFonts w:ascii="Times New Roman;serif" w:hAnsi="Times New Roman;serif"/>
                <w:b/>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 per Share</w:t>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0"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0"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0"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December 31, 2025</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0"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Vested</w:t>
            </w:r>
            <w:r>
              <w:rPr>
                <w:rFonts w:ascii="Times New Roman;serif" w:hAnsi="Times New Roman;serif"/>
                <w:b w:val="false"/>
                <w:color w:val="000000"/>
                <w:sz w:val="13"/>
              </w:rPr>
              <w:t>(1)</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8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Unvested, March 31, 2026</w:t>
            </w:r>
          </w:p>
        </w:tc>
        <w:tc>
          <w:tcPr>
            <w:tcW w:w="107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8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Includes 273 vested shares that were withheld to cover tax obligations and were subsequently cancelled.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total unrecognized compensation cost related to the RSUs was $1,393, which is expected to be recognized over a weighted-average remaining period of 1.8 years.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Performance Based Awards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2024, the Company’s Board approved an award of 3,000 RSUs pursuant to an employment agreement that were not granted as of March 31, 2026 or as of the date of filing of this Quarterly Report on Form 10-Q, and no shares have been issued in respect thereof. These awards, once granted, will be subject to certain vesting conditions, including the achievement of certain stock price targets and continued service to the Company.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Compensation Expense by Type of Award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equity-based compensation expense by type of award for the periods presented:</w:t>
      </w:r>
    </w:p>
    <w:tbl>
      <w:tblPr>
        <w:tblW w:w="5995" w:type="dxa"/>
        <w:jc w:val="left"/>
        <w:tblInd w:w="0" w:type="dxa"/>
        <w:tblLayout w:type="fixed"/>
        <w:tblCellMar>
          <w:top w:w="28" w:type="dxa"/>
          <w:left w:w="28" w:type="dxa"/>
          <w:bottom w:w="28" w:type="dxa"/>
          <w:right w:w="28" w:type="dxa"/>
        </w:tblCellMar>
      </w:tblPr>
      <w:tblGrid>
        <w:gridCol w:w="1308"/>
        <w:gridCol w:w="1151"/>
        <w:gridCol w:w="1156"/>
        <w:gridCol w:w="211"/>
        <w:gridCol w:w="466"/>
        <w:gridCol w:w="109"/>
        <w:gridCol w:w="109"/>
        <w:gridCol w:w="109"/>
        <w:gridCol w:w="109"/>
        <w:gridCol w:w="211"/>
        <w:gridCol w:w="466"/>
        <w:gridCol w:w="109"/>
        <w:gridCol w:w="109"/>
        <w:gridCol w:w="109"/>
        <w:gridCol w:w="109"/>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recognized $121 and $378, respectively, of expense within “General and administrative expenses” and $326 and $1,138, respectively, within “Cost of goods sold” and of the total equity-based compensation expense, $329 and $250 was capitalized to inventory, respectively. As of March 31, 2026 and December 31, 2025, $1,454 and $1,451, respectively, remained capitalized in inventory.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Employee Stock Purchase Plan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2021, the Company also adopted an employee stock purchase plan (the “2021 ESPP”), pursuant to which 4,000 shares of Class A common stock are reserved for issuance thereunder, subject to certain adjustments and other terms. No shares have been issued under the 2021 ESPP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14. INCOME TAXES</w:t>
      </w:r>
    </w:p>
    <w:tbl>
      <w:tblPr>
        <w:tblW w:w="5567" w:type="dxa"/>
        <w:jc w:val="left"/>
        <w:tblInd w:w="0" w:type="dxa"/>
        <w:tblLayout w:type="fixed"/>
        <w:tblCellMar>
          <w:top w:w="28" w:type="dxa"/>
          <w:left w:w="28" w:type="dxa"/>
          <w:bottom w:w="28" w:type="dxa"/>
          <w:right w:w="28" w:type="dxa"/>
        </w:tblCellMar>
      </w:tblPr>
      <w:tblGrid>
        <w:gridCol w:w="983"/>
        <w:gridCol w:w="863"/>
        <w:gridCol w:w="868"/>
        <w:gridCol w:w="211"/>
        <w:gridCol w:w="796"/>
        <w:gridCol w:w="271"/>
        <w:gridCol w:w="109"/>
        <w:gridCol w:w="109"/>
        <w:gridCol w:w="109"/>
        <w:gridCol w:w="211"/>
        <w:gridCol w:w="721"/>
        <w:gridCol w:w="316"/>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 in thousands)</w:t>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 on gross profit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Internal Revenue Service has taken the position that cannabis companies are subject to the limitations of IRC Section 280E, under which such companies are only allowed to deduct expenses directly related to the sales of product (cost of goods sold). This results in permanent differences between ordinary and necessary business expenses deemed non-allowable under IRC Section 280E and those allowed for financial statement reporting purposes (“book-to-tax” differences). Cannabis companies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on income realized by cannabis companies can be highly variable and may not necessarily correlate with pre-tax income or loss.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has net deferred tax liabilities of $20,191 and $21,515, respectively, which are reflected net of a valuation allowance of $2,898 and $1,803, respectively. The Company’s valuation allowance is primarily attributable to various states’ net operating loss and credit carryforwards related to limitations on business interest expense carryover amounts. In assessing the realizability of deferred tax assets, management considers whether it is more-likely-than-not that some portion, or all, of its deferred tax assets will not be realized and reflects a valuation allowance to the extent that the full benefit may not be realized in the applicable jurisdictions based on estimates of future taxable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recorded an uncertain tax liability for uncertain tax positions primarily related to the treatment of certain transactions and deductions under IRC Section 280E based on legal interpretations that challenge the Company’s tax liability under IRC Section 280E. These uncertain tax positions are included within “Other non-current liabilities” on the unaudited Condensed Consolidated Balance Sheets. The following table shows a reconciliation of the beginning and ending amount of unrecognized tax benefits:</w:t>
      </w:r>
    </w:p>
    <w:tbl>
      <w:tblPr>
        <w:tblW w:w="8035" w:type="dxa"/>
        <w:jc w:val="left"/>
        <w:tblInd w:w="0" w:type="dxa"/>
        <w:tblLayout w:type="fixed"/>
        <w:tblCellMar>
          <w:top w:w="28" w:type="dxa"/>
          <w:left w:w="28" w:type="dxa"/>
          <w:bottom w:w="28" w:type="dxa"/>
          <w:right w:w="28" w:type="dxa"/>
        </w:tblCellMar>
      </w:tblPr>
      <w:tblGrid>
        <w:gridCol w:w="1596"/>
        <w:gridCol w:w="1402"/>
        <w:gridCol w:w="1411"/>
        <w:gridCol w:w="109"/>
        <w:gridCol w:w="109"/>
        <w:gridCol w:w="109"/>
        <w:gridCol w:w="584"/>
        <w:gridCol w:w="2289"/>
        <w:gridCol w:w="426"/>
      </w:tblGrid>
      <w:tr>
        <w:trPr/>
        <w:tc>
          <w:tcPr>
            <w:tcW w:w="159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203,884 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related to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10,468 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related to 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99"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218,673 </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total of $44,392 of interest and penalties is accrued for the uncertain tax positions as of March 31, 2026, and includes $5,092 related to the current year and $39,300 for prior years, and a total of $39,300 of interest and penalties was accrued as of December 31, 2025, which included $19,132 for the year then ended and $20,168 for prior years.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been selected for examination of its amended tax returns filed with these unrecognized tax benefits. The total amount of unrecognized tax benefits, and the related impact to the Company’s effective tax rate, may change within the next twelve months for additional uncertain tax positions taken on a go-forward basis, or, if favorably resolved, would decrease the Company’s effective tax rate. The Company anticipates that approximately $15,000 of its unrecognized tax benefits, with regard to specific matters, may be favorably resolved within the near-term.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2025, the U.S. government enacted a reconciliation bill, commonly referred to as the One Big Beautiful Bill Act (the “Act”), with certain provisions of the Act effective in 2025 and other provisions becoming effective in 2026 and beyond. Among the various provisions contained in the Act, modifications to Section 163(j) interest expense limitations are expected to favorably impact the Company’s state tax calculations. We reflected a discrete tax event during the three months ended March 31, 2026 which resulted in a $215 reduction to our uncertain tax position. Additionally, our deferred tax liabilities increased by $283 resulting from state decoupling considerations. The net impact to the effective tax rate was not material. The Company continues to evaluate the impact of the various provisions of the Act, but does not expect the other provisions will have a material impact on its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Commitments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does not have significant future annual commitments, other than related to leases and debt, which are disclosed in Notes 10 and 11, respectively, and certain payments related to acquisitions, as disclosed in Note 4. The Company has commercial relationships with license holders across the markets in which it operates with mutually beneficial purchasing and supply arrangements entered into in the ordinary course of business.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2025, the Company entered into a definitive agreement pursuant to which the Company proposes to acquire an entity in Ohio that owns and operates a dispensary in Ohio and receive $1,000 of cash consideration in exchange for an entity that holds a conditional dispensary license that the Company expects to receive. This transaction is subject to certain closing conditions, including regulatory approvals. The parties also entered into a working capital loan agreement to provide a maximum of approximately $900 of funding for build-out expenditures incurred by the Company. Borrowings under the working capital loan bear interest at a rate of 7% per annum, and borrowings and accrued interest are to be repaid following the termination of the related definitive agreement or settled as part of the associated transaction. The working capital loan provides for customary events of default and is secured by certain underlying assets. This transaction is with a specific buyer and the Company determined the underlying assets do not meet the criteria to be classified as held-for-sale as of March 31, 2026.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Through the acquisition of Story of PA CR, LLC (“Story of PA”) in April 2022, the Company is party to a research collaboration agreement with the Geisinger Commonwealth School of Medicine (“Geisinger”), a Pennsylvania Department of Health-Certified Medical Marijuana Academic Clinical Research Center, pursuant to which the Company will help fund clinical research to benefit the patients of Pennsylvania. A total of up to $10,000 of additional funding may be provided pursuant to the research collaboration agreement and is expected to be funded over the course of the ten years following the transaction date based on a percentage of annual revenues associated with the underlying operations. A payment of $819 was remitted in April 2025. As of March 31, 2026 and December 31, 2025, $3,540 and $2,945, respectively, of the remaining payment total, were included within “Accounts payable and accrued liabilities” on the unaudited Condensed Consolidated Balance Sheets and $5,641 and $6,236, respectively, were included within “Other non-current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Legal and Other Matters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operations are subject to a variety of local and state regulations. Failure to comply with one or more of those regulations could result in fines, restrictions on its operations, or losses of permits that could result in the Company ceasing operations. While management believes that the Company is in compliance with applicable local and state regulations as of March 31, 2026 in all material respects, cannabis regulations continue to evolve and are subject to differing interpretations, and accordingly, the Company may be subject to regulatory fines, penalties, or restrictions in the future.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State laws that permit and regulate the production, distribution, and use of cannabis for adult-use or medical purposes are in direct conflict with the Controlled Substances Act (21 U.S.C. § 801) (the “CSA”), which makes cannabis use and possession federally illegal. Although certain states and territories of the United States authorize medical and/or adult-use cannabis production and distribution by licensed or registered entities, under United States federal law, the possession, use, cultivation, and transfer of cannabis and any related drug paraphernalia is illegal and any such acts are criminal acts under federal law under the CSA. Although the Company’s activities are believed to be compliant with applicable state and local laws, strict compliance with state and local laws with respect to cannabis may neither absolve the Company of liability under United States federal law, nor may it provide a defense to any federal proceeding which may be brought against the Company.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may be, from time to time, subject to various administrative, regulatory, and other legal proceedings arising in the ordinary course of business. Contingent liabilities associated with legal proceedings are recorded when a liability is probable and the contingent liability can be estimated. We do not accrue for contingent losses that, in our judgment, are considered to be reasonably possible but not probable. At March 31, 2026 there were no pending or threatened lawsuits that could reasonably be expected to have a material effect on our consolidated results of operations, other than as disclosed below.</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Green Thumb Industries Arbitration Matter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31, 2024, Green Thumb Industries Inc. and TWD18, LLC (collectively, “GTI”) initiated an arbitration proceeding before JAMS, a private alternative dispute resolution provider (“JAMS”), against the Company and Ascend Group Partners, LLC relating to a June 4, 2018 side letter agreement (the “Side Letter”). The arbitration concerned certain contractual obligations and payment terms under the Side Letter arising out of prior commercial arrangements between the parties. GTI asserted claims for breach of contract and related causes of action and sought monetary damages and related relief. The Company denied the allegations and asserted counterclaims against GTI.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December 8, 2025 through December 12, 2025, a five-day evidentiary hearing was conducted before the arbitrator. On February 5, 2026, the arbitrator issued an award (the “Award”) determining that GTI had established approximately $22,116 of damages on its breach-of-contract claim and that the Company had established approximately $2,363 of damages on one of its counterclaims, resulting in a net award in favor of GTI of approximately $19,753.</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issuance of the Award, management, in consultation with outside legal counsel and other expert external advisors and based on the advice, guidance, and analyses provided to management at the time, evaluated the arbitration matter in accordance with applicable accounting guidance for loss contingencies. Based on that assessment, management concluded that a loss was not probable and that an estimate of potential loss was not reasonably determinable, and further believed based on that assessment that it was more probable than not that the matter would result in a net award to the Company. Accordingly, no accrual was recorded in the Company’s consolidated financial statements prior to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11, 2026, the Company entered into a settlement agreement with GTI (the “Settlement Agreement”) pursuant to which the parties agreed to resolve the arbitration and satisfy the Award in exchange for a negotiated payment amount of $17,000, which is included within “Accounts payable and accrued liabilities” on the unaudited Condensed Consolidated Balance Sheet as of December 31, 2025. The Company paid the agreed settlement amount on February 12, 2026, and the arbitration award has been fully satisfied. The Settlement Agreement resolves all claims asserted in the arbitration proceeding and does not affect the Company’s other commercial relationships with GTI. The Company does not expect the Settlement Agreement to result in a material disruption to its ongoing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State of Ohio Complaint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6, 2026, the Attorney General of the State of Ohio filed a complaint against the Company and eight other multi-state operators (“MSOs”) in the cannabis industry with operations in Ohio, alleging anticompetitive collusion among the MSOs to exclude single state operators based in Ohio from the cannabis market. The Company denies the claims with respect to the Company and plans to vigorously contest the case.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16. RELATED PARTY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significant related party transactions during the three months ended March 31, 2026, other than as disclosed in Note 12, “Stockholders’ Equity.”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17. SUPPLEMENTAL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information regarding our other current assets:</w:t>
      </w:r>
    </w:p>
    <w:tbl>
      <w:tblPr>
        <w:tblW w:w="6131" w:type="dxa"/>
        <w:jc w:val="left"/>
        <w:tblInd w:w="0" w:type="dxa"/>
        <w:tblLayout w:type="fixed"/>
        <w:tblCellMar>
          <w:top w:w="28" w:type="dxa"/>
          <w:left w:w="28" w:type="dxa"/>
          <w:bottom w:w="28" w:type="dxa"/>
          <w:right w:w="28" w:type="dxa"/>
        </w:tblCellMar>
      </w:tblPr>
      <w:tblGrid>
        <w:gridCol w:w="939"/>
        <w:gridCol w:w="826"/>
        <w:gridCol w:w="829"/>
        <w:gridCol w:w="292"/>
        <w:gridCol w:w="998"/>
        <w:gridCol w:w="150"/>
        <w:gridCol w:w="109"/>
        <w:gridCol w:w="109"/>
        <w:gridCol w:w="109"/>
        <w:gridCol w:w="344"/>
        <w:gridCol w:w="1175"/>
        <w:gridCol w:w="251"/>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and other receivables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deposits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14,473 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11,193 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information regarding our accounts payable and accrued liabilities:</w:t>
      </w:r>
    </w:p>
    <w:tbl>
      <w:tblPr>
        <w:tblW w:w="6686" w:type="dxa"/>
        <w:jc w:val="left"/>
        <w:tblInd w:w="0" w:type="dxa"/>
        <w:tblLayout w:type="fixed"/>
        <w:tblCellMar>
          <w:top w:w="28" w:type="dxa"/>
          <w:left w:w="28" w:type="dxa"/>
          <w:bottom w:w="28" w:type="dxa"/>
          <w:right w:w="28" w:type="dxa"/>
        </w:tblCellMar>
      </w:tblPr>
      <w:tblGrid>
        <w:gridCol w:w="1141"/>
        <w:gridCol w:w="1002"/>
        <w:gridCol w:w="1006"/>
        <w:gridCol w:w="292"/>
        <w:gridCol w:w="998"/>
        <w:gridCol w:w="150"/>
        <w:gridCol w:w="109"/>
        <w:gridCol w:w="109"/>
        <w:gridCol w:w="109"/>
        <w:gridCol w:w="344"/>
        <w:gridCol w:w="1175"/>
        <w:gridCol w:w="251"/>
      </w:tblGrid>
      <w:tr>
        <w:trPr/>
        <w:tc>
          <w:tcPr>
            <w:tcW w:w="114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expenses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liabilities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 purchases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Litigation settlement </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62,628 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84,793 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information regarding our general and administrative expenses:</w:t>
      </w:r>
    </w:p>
    <w:tbl>
      <w:tblPr>
        <w:tblW w:w="5484" w:type="dxa"/>
        <w:jc w:val="left"/>
        <w:tblInd w:w="0" w:type="dxa"/>
        <w:tblLayout w:type="fixed"/>
        <w:tblCellMar>
          <w:top w:w="28" w:type="dxa"/>
          <w:left w:w="28" w:type="dxa"/>
          <w:bottom w:w="28" w:type="dxa"/>
          <w:right w:w="28" w:type="dxa"/>
        </w:tblCellMar>
      </w:tblPr>
      <w:tblGrid>
        <w:gridCol w:w="938"/>
        <w:gridCol w:w="824"/>
        <w:gridCol w:w="832"/>
        <w:gridCol w:w="211"/>
        <w:gridCol w:w="721"/>
        <w:gridCol w:w="109"/>
        <w:gridCol w:w="109"/>
        <w:gridCol w:w="109"/>
        <w:gridCol w:w="109"/>
        <w:gridCol w:w="211"/>
        <w:gridCol w:w="721"/>
        <w:gridCol w:w="109"/>
        <w:gridCol w:w="109"/>
        <w:gridCol w:w="109"/>
        <w:gridCol w:w="109"/>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and utilities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Marketing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18. SUBSEQUENT EVENTS</w:t>
      </w:r>
    </w:p>
    <w:p>
      <w:pPr>
        <w:pStyle w:val="TextBody"/>
        <w:bidi w:val="0"/>
        <w:spacing w:lineRule="auto" w:line="288" w:before="0" w:after="180"/>
        <w:ind w:left="0" w:right="0" w:firstLine="720"/>
        <w:jc w:val="both"/>
        <w:rPr/>
      </w:pPr>
      <w:r>
        <w:rPr>
          <w:rFonts w:ascii="Times New Roman;serif" w:hAnsi="Times New Roman;serif"/>
          <w:b w:val="false"/>
          <w:color w:val="000000"/>
          <w:sz w:val="20"/>
        </w:rPr>
        <w:t>Management has evaluated subsequent events to determine if events or transactions occurring through the filing date of this Quarterly Report on Form 10-Q require adjustment to or disclosure in the Company’s Financial Statements. There were no events that require adjustment to or disclosure in the Financial Statements, except as disclosed</w:t>
      </w:r>
      <w:r>
        <w:rPr>
          <w:color w:val="EE2724"/>
        </w:rPr>
        <w:t xml:space="preserve"> </w:t>
      </w:r>
      <w:r>
        <w:rPr>
          <w:rFonts w:ascii="Times New Roman;serif" w:hAnsi="Times New Roman;serif"/>
          <w:b w:val="false"/>
          <w:color w:val="000000"/>
          <w:sz w:val="20"/>
        </w:rPr>
        <w:t>below and elsewhere herein.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Acquisition-Related Activity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entered into a loan agreement through which the Company may, at its sole discretion, provide financing to Northeast Retail Partner Seven and will also provide certain business, operational, and financial advisory services to Northeast Retail Partner Seven pursuant to a support services agreement. Accordingly, the Company has determined that Northeast Retail Partner Seven has met the criteria to be consolidated as a VIE. In April 2026, Northeast Retail Partner Seven entered into a definitive agreement pursuant to which it anticipates acquiring licenses associated with two dispensaries in the Northeast. Total cash consideration for this transaction is $3,600, of which $800 was remitted in May 2026, with the remainder due at final closing and subject to customary closing adjustments, as applicable. The third party also anticipates assuming the leases for the dispensary locations. In conjunction with this definitive agreement, the parties also entered into a consulting services agreement pursuant to which the third party will advise on certain business, operational, and financial matters for a monthly fee while the transaction is pending. The Company is in the process of evaluating the accounting for the April 2026 transaction described herein and expects this transaction will be consolidated as a business combination as of the effective date.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Regulatory-Related Updates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23, 2026, the U.S. Department of Justice (the “DOJ”) issued an order placing cannabis products subject to qualifying state medical cannabis licenses and other cannabis products that are FDA-approved into Schedule III under the Controlled Substances Act (21 U.S.C. § 801) (the “CSA”) (the “April 2026 Order”). In addition, the Drug Enforcement Administration (“DEA”) has announced new hearings scheduled to begin on June 29, 2026, which will address the proposed broader rescheduling of marijuana from Schedule I to Schedule III, including for adult-use cannabis. The Company is currently assessing the impact of the April 2026 Order to its medical use business, including its federal and state tax positions, compliance obligations, licensing, access to financial services, and capital markets activities. Due to limited implementation guidance, regulatory interpretation, and the uncertain outcome of additional DEA proceedings, the Company cannot reasonably estimate the financial impact of the April 2026 Order as of the date these Financial Statements were issued. The Company is evaluating the impact of the April 2026 Order on its existing uncertain tax positions recorded under IRC Section 280E (see Note 14, “Income Taxes”), but, given the uncertainties described above, has not adjusted such positions as of the date these Financial Statements were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39</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management discussion and analysis, which we refer to as the “MD&amp;A,” of the financial condition and results of operations of Ascend Wellness Holdings, Inc. (the “Company,” “AWH,” or “Ascend”) is for the three months ended March 31, 2026 and 2025. It is supplemental to, and should be read in conjunction with, the unaudited condensed consolidated financial statements, and the accompanying notes thereto, (the “Financial Statements”) appearing elsewhere in this Quarterly Report on Form 10-Q (the “Quarterly Report” or “Form 10-Q”) and our Annual Report on Form 10-K for the year ended December 31, 2025 (the “Annual Report”), which has been filed with the United States Securities and Exchange Commission (“SEC”) and with the relevant Canadian securities regulatory authorities under its profile on the System for Electronic Document Analysis and Retrieval Plus (“SEDAR+”). The Financial Statements and Annual Report were prepared in accordance with accounting principles generally accepted in the United States of America, which we refer to as “U.S. GAAP.”</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following discussion should be read in conjunction with, and is qualified in its entirety by, the Financial Statements. The discussion in this section contains both historical information and forward-looking statements, within the meaning of the Private Securities Litigation Reform Act of 1995, and forward-looking information, within the meaning of applicable Canadian securities laws, (collectively, “forward-looking statements”) that involve risks and uncertainties. Generally, forward-looking statements may be identified by the use of forward-looking terminology such as “plans,” “expects,” “does not expect,” “proposed,” “is expected,” “budgets,” “scheduled,” “estimates,” “forecasts,” “intends,” “anticipates,” “does not anticipate,” “believes,” or variations of such words and phrases, or by the use of words or phrases which state that certain actions, events, or results may, could, would, or might occur or be achieved. There can be no assurance that such forward-looking statements will prove to be accurate, and actual results and future events could differ materially from those anticipated in such forward-looking statements. Forward-looking statements are subject to known and unknown risks, uncertainties, and other factors that may cause the actual results, level of activity, performance, or achievements of the Company to be materially different from those or implied by such forward-looking statements. Readers are further cautioned not to place undue reliance on forward-looking statements as there can be no assurance that the plans, intentions, or expectations upon which they are placed will occur. Forward-looking statements in this MD&amp;A are expressly qualified by this cautionary statement. See “</w:t>
      </w:r>
      <w:r>
        <w:rPr>
          <w:rFonts w:ascii="Times New Roman;serif" w:hAnsi="Times New Roman;serif"/>
          <w:b w:val="false"/>
          <w:i/>
          <w:color w:val="000000"/>
          <w:sz w:val="20"/>
        </w:rPr>
        <w:t>Forward-Looking Statements</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information and share figures, except per-share amounts, presented in this MD&amp;A are presented in thousands of United States dollars (“$”), unless otherwise indicated. We round amounts in this MD&amp;A to the thousands and calculate all percentages and per-share data from the underlying whole-dollar amounts. Thus, certain amounts may not foot, crossfoot, or recalculate based on reported numbers due to rounding. Unless otherwise indicated, all references to years are to our fiscal year, which ends on December 31.</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Company’s shares of Class A common stock are listed on the Canadian Securities Exchange (the “CSE”) under the ticker symbol “AAWH.U” and are quoted on the OTCQX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Best Market under the symbol “AAWH.” We are an emerging growth company under federal securities laws and as such we are able to elect to follow scaled disclosure requirements for this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40</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Established in 2018 and headquartered in Rochelle Park, New Jersey, AWH is a vertically integrated multi-state operator focused on adult-use or near-term adult-use cannabis states in limited license markets. Our core business is the cultivation, manufacturing, and distribution of cannabis consumer packaged goods, which we sell through our company-owned retail stores, to retail partner locations, and to third-party licensed retail locations. We believe in bettering lives through cannabis. Our mission is to improve the lives of our employees, patients, customers, and the communities we serve through the use of the cannabis plant. We are committed to providing safe, reliable, and high-quality products and providing consumers options and education to ensure they are able to identify and obtain the products that fit their personal needs.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Since our formation, we have expanded our operational footprint, primarily through acquisitions, and, as of March 31, 2026, had direct or indirect operations or financial interests in seven United States geographic markets: Illinois, Maryland, Massachusetts, Michigan, New Jersey, Ohio, and Pennsylvania. While we have been successful in opening cultivation facilities and dispensaries under our current licenses, we expect continued growth to be driven by opening dispensaries under our current licenses and through partnership opportunities, expansion of our current cultivation facilities, and increased consumer demand. As of March 31, 2026, we employed approximately 2,300 people, excluding employees of retail partner locations.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consumer products portfolio is generated primarily from plant material that we grow and process ourselves. As of March 31, 2026, we produce our consumer packaged goods in six manufacturing facilities with approximately 260,000 square feet of total canopy. We sold approximately 56,000 pounds of wholesale product, on a gross basis, during each of the three months ended March 31, 2026 and 2025. Our product portfolio consists of a range of cannabis product categories including flower, pre-rolls, concentrates, vapes, edibles, and other cannabis-related products. As of March 31, 2026, we have 48 open and operating retail locations, which includes 10 retail partner locations. We have expansion plans to achieve a target of 60 total retail locations, including retail partner locations. Our new store opening plans are flexible and will ultimately depend on market conditions, local licensing, construction, and other regulatory permissions. Our expansion plans are subject to capital allocation decisions, the evolving regulatory environment, and the general economic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Business Developments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continues to focus on optimizing its operations, including evaluating expansion opportunities across the markets in which it operates. In addition to recent acquisition-related activity, as further described below, dispensaries that are associated with two previously consolidated transactions opened during the quarter, and an additional dispensary opened subsequently in April. The Company has also debuted a revamped product offering of its Ozone-branded products that are aimed to provide an elevated customer experience and complement Ascend’s other product offerings in the market.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 and Pending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4, “Acquisitions,” in the Financial Statements for additional information regarding the Company’s acquisition-related activity, including previous transactions that remain pending.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various contractual agreements, the Company is providing funding and operational support to third-parties that meet the criteria to be consolidated as variable interest entities (each, a “VIE”). Refer to Note 8, “Variable Interest Entities,” in the Financial Statements for additional information regarding the Company’s VIEs, including the Midwest Retail Partner One, and certain other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41</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2026 Asset Acquisition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2025, the Company entered into a definitive agreement pursuant to which the Company proposed to acquire an entity that anticipated obtaining an adult-use license (“Northeast Retail Partnership Dispensary Six”) and receive $1,000 of cash consideration in exchange for the Company’s Ohio cultivation license (the “Ohio Cultivation License”). This transaction was subject to certain closing conditions, including regulatory approvals, and closed in March 2026. Northeast Retail Partnership Dispensary Six was not operational at the time of closing and therefore the Company accounted for this transaction as an asset acquisition and, as further described in Note 4, “Acquisitions,” in the Financial Statements, allocated the cost of $2,700 to the license acquired, in addition to an acquisition-related deferred tax liability of $1,063. The Company recognized a gain on sale of $137, which represented the excess of fair value compared with the $3,529 book value of the Ohio Cultivation License that was de-recognized as of the transaction date. The parties also settled $349 that the Company previously funded under a note receivable and reimbursed the seller for an additional $588 related to capital expenditures. The Company also assumed the lease for the dispensary location which had a lease liability and ROU asset of $1,066 as of the effective date and is classified as an operating lease. Refer to Note 4, “Acquisitions,” in the Financial Statements for additional information related to this transaction and refer to Note 10, “Leases,” for additional information regarding the Company’s leases.</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Operational and Regulation Overview</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believe our operations are in material compliance with all applicable state and local laws, regulations, and licensing requirements in the states in which we operate. However, cannabis is illegal under United States federal law. Substantially all of our revenue is derived from United States cannabis operations. For information about risks related to United States cannabis operations, refer to Item 1A., “</w:t>
      </w:r>
      <w:r>
        <w:rPr>
          <w:rFonts w:ascii="Times New Roman;serif" w:hAnsi="Times New Roman;serif"/>
          <w:b w:val="false"/>
          <w:i/>
          <w:color w:val="000000"/>
          <w:sz w:val="20"/>
        </w:rPr>
        <w:t>Risk Factors</w:t>
      </w:r>
      <w:r>
        <w:rPr>
          <w:rFonts w:ascii="Times New Roman;serif" w:hAnsi="Times New Roman;serif"/>
          <w:b w:val="false"/>
          <w:color w:val="000000"/>
          <w:sz w:val="20"/>
        </w:rPr>
        <w:t>,” of the Annual Report and Item 1A. of Part II of this Quarterly Report.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23, 2026, the U.S. Department of Justice (the “DOJ”) issued an order placing cannabis products subject to qualifying state medical cannabis licenses and other cannabis products that are FDA-approved into Schedule III under the Controlled Substances Act (21 U.S.C. § 801 et seq.) (the “CSA”) (the “April 2026 Order”). In addition, the Drug Enforcement Administration (“DEA”) has announced new hearings scheduled to begin on June 29, 2026, which will address the proposed broader rescheduling of marijuana from Schedule I to Schedule III, including adult-use cannabis. The Company is evaluating the impact of the April 2026 Order on its medical cannabis operations, including its federal and state tax positions, compliance obligations, licensing, access to financial services, and capital markets activities. Due to limited implementation guidance, regulatory interpretation, and the uncertain outcome of additional DEA proceedings, the Company cannot reasonably estimate the financial impact of the April 2026 Order as of the date of filing of this Quarterly Report.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April 2026 Order may have a material effect on our future results of operations, cash flows, and liquidity, particularly if it reduces or eliminates the application of Internal Revenue Code (“IRC”) Section 280E to some or all of our state-licensed cannabis operations. Any such impact will depend on, among other things, whether the April 2026 Order withstands any legal challenges to its validity, the scope of our qualifying medical cannabis activities, our ability to substantiate deductions attributable to those activities, future guidance that may be issued by various regulatory bodies, including but not limited to the Internal Revenue Service (“IRS”), DOJ, DEA, and various state regulators, and the outcome of pending DEA proceedings regarding the broader rescheduling of marijuana, including adult-use cannabis. The Company will continue to evaluate, as more guidance becomes available, whether to file amended tax returns and potential changes to our systems, controls, and cost allocation methodologies that may be required. At this time, we cannot be certain of the amount of benefit to our income taxes that may be realized, whether the April 2026 Order will improve our access to capital or banking services, or if additional federal regulatory changes will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42</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Key Financial Highlights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Revenue decreased by $11,064, or 9%, during the three months ended March 31, 2026, as compared to the three months ended March 31, 2025, primarily driven by declines across our legacy business resulting from increased competition and pricing pressure in most of our markets, slightly offset by incremental revenue from acquisitions and consolidated partnership activity.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Operating profit was $2,546 during the three months ended March 31, 2026, as compared to $2,486 during the three months ended March 31, 2025, primarily attributable to improved margins, offset by higher general and administrative expenses to support our expanded operations.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Net decrease in cash and cash equivalents of $24,756 during the three months ended March 31, 2026, primarily resulting from net cash used in operating activities, including an interest payment of $19,125 on our term notes and a $17,000 payment associated with a litigation matter (refer to “</w:t>
      </w:r>
      <w:r>
        <w:rPr>
          <w:rFonts w:ascii="Times New Roman;serif" w:hAnsi="Times New Roman;serif"/>
          <w:b w:val="false"/>
          <w:i/>
          <w:color w:val="000000"/>
          <w:sz w:val="20"/>
        </w:rPr>
        <w:t>Management’s Discussion and Analysis of Financial Condition and Results of Operations–Legal Matters–Green Thumb Industries Arbitration Matter</w:t>
      </w:r>
      <w:r>
        <w:rPr>
          <w:color w:val="000000"/>
        </w:rPr>
        <w:t xml:space="preserve">” </w:t>
      </w:r>
      <w:r>
        <w:rPr>
          <w:rFonts w:ascii="Times New Roman;serif" w:hAnsi="Times New Roman;serif"/>
          <w:b w:val="false"/>
          <w:color w:val="000000"/>
          <w:sz w:val="20"/>
        </w:rPr>
        <w:t xml:space="preserve">for additional information), partially offset by funding provided by improvements in working capital management.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43</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Three Months Ended March 31, 2026 Compared with the Three Months Ended March 31, 2025</w:t>
      </w:r>
    </w:p>
    <w:tbl>
      <w:tblPr>
        <w:tblW w:w="8730" w:type="dxa"/>
        <w:jc w:val="left"/>
        <w:tblInd w:w="0" w:type="dxa"/>
        <w:tblLayout w:type="fixed"/>
        <w:tblCellMar>
          <w:top w:w="28" w:type="dxa"/>
          <w:left w:w="28" w:type="dxa"/>
          <w:bottom w:w="28" w:type="dxa"/>
          <w:right w:w="28" w:type="dxa"/>
        </w:tblCellMar>
      </w:tblPr>
      <w:tblGrid>
        <w:gridCol w:w="1119"/>
        <w:gridCol w:w="983"/>
        <w:gridCol w:w="988"/>
        <w:gridCol w:w="109"/>
        <w:gridCol w:w="109"/>
        <w:gridCol w:w="109"/>
        <w:gridCol w:w="211"/>
        <w:gridCol w:w="826"/>
        <w:gridCol w:w="256"/>
        <w:gridCol w:w="109"/>
        <w:gridCol w:w="109"/>
        <w:gridCol w:w="109"/>
        <w:gridCol w:w="211"/>
        <w:gridCol w:w="826"/>
        <w:gridCol w:w="256"/>
        <w:gridCol w:w="109"/>
        <w:gridCol w:w="109"/>
        <w:gridCol w:w="109"/>
        <w:gridCol w:w="270"/>
        <w:gridCol w:w="1019"/>
        <w:gridCol w:w="139"/>
        <w:gridCol w:w="189"/>
        <w:gridCol w:w="189"/>
        <w:gridCol w:w="267"/>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127,997 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(11,064)</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profit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38.4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30.9</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(20,132)</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(10,713)</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(29,493)</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(19,258)</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Revenue decreased by $11,064 during, or 9%, the three months ended March 31, 2026, as compared to the three months ended March 31, 2025. Revenue across legacy dispensary locations declined by $10,210, primarily driven by softness in Illinois, New Jersey, and Pennsylvania that was partially offset by a benefit from adult-use sales in Ohio. Additionally, the decrease was partially offset by a contribution of $8,985 of incremental revenue from partner stores and new stores that were added during 2025 and 2026. Net revenue from our wholesale operations declined by $9,839 largely resulting from an increased focus on selling products through Company-owned and retail partner locations, as well as ongoing price compression across certain markets, particularly in Illinois, New Jersey, and Massachusetts. We sold approximately 56,000 pounds of wholesale product, on a gross basis, during each of the three months ended March 31, 2026 and 2025. </w:t>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44</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Goods Sold and Gross Profit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goods sold, which represents direct and indirect expenses attributable to the production of wholesale products as well as direct expenses incurred in purchasing products from other wholesalers, decreased by $16,385 during the three months ended March 31, 2026, as compared to the three months ended March 31, 2025. Gross profit for the three months ended March 31, 2026 was $44,882, representing a gross margin of 38.4%, compared to gross profit of $39,561 and gross margin of 30.9% for the three months ended March 31, 2025. Gross margin for the current quarter benefited from a higher volume of Company-produced products sold through our retail stores and retail partner locations, as well as an increased focus on higher-margin products. These benefits were partially offset by an impact from increased competition and pricing pressure across most of our markets. The current period includes a $2,314 benefit from a rebalancing of overhead expenses at certain cultivation locations from cost of goods sold to general and administrative expenses based on overhead allocations relative to production output at those locations and $1,130 of lower write-downs of certain inventory items related to net realizable value adjustments, expired products, and obsolete packaging.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$5,261, or 14%, during the three months ended March 31, 2026, as compared to the three months ended March 31, 2025. The increase was primarily driven by: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 $2,066 increase in overhead expenses, including $2,314 of expenses associated with a rebalancing of certain overhead expenses from cost of goods sold, as well as costs associated with the expansion of operations, partially offset by ongoing cost control initiatives;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$1,848 of higher compensation expenses in support of the expansion of consolidated operations;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$1,500 of higher depreciation and amortization associated with a larger average balance of fixed assets in service, including finance leases, and the incremental amortization of licenses from prior year acquisitions;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$657 loss on settlement of a loan receivable.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increases were partially offset by a benefit of $432 of acquisition-related earn-out fair value adjustments and a $340 reversal of expense associated with an acquisition earn-out that was not achieved.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by $9,063, or 81%, during the three months ended March 31, 2026, as compared to the three months ended March 31, 2025. The current year was impacted primarily by higher interest associated with finance leases; refer to Note 10, “Leases,” in the Financial Statements for additional information. During the three months ended March 31, 2026, the Company had a weighted-average outstanding debt balance, excluding finance leases, of $319,335 with a weighted-average interest rate of 12.3%, compared to a weighted-average debt balance of $346,089 during the three months ended March 31, 2025 with a weighted-average interest rate of 11.5%.</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45</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IRS has taken the position that cannabis companies are subject to the limitations of IRC Section 280E, under which such companies are only allowed to deduct expenses directly related to the sales of product. This results in permanent differences between ordinary and necessary business expenses deemed non-allowable under IRC Section 280E and those allowed for financial statement reporting purposes (“book-to-tax” differences). Cannabis companies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on income realized by cannabis companies can be highly variable and may not necessarily correlate with pre-tax income or loss.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recorded an uncertain tax liability totaling $218,673 for uncertain tax positions related to the treatment of certain transactions and deductions under IRC Section 280E based on legal interpretations that challenge the Company’s tax liability under IRC Section 280E. The Company is evaluating the impact of the April 2026 Order on its existing uncertain tax positions recorded under IRC Section 280E (see Note 14, “Income Taxes,” in the Financial Statements), but, given the uncertainties described above, has not adjusted such positions as of the date this Quarterly Report was issued. The Company has been selected for examination of its amended tax returns filed with these unrecognized tax benefits but does not currently anticipate its unrecognized tax benefits to be resolved in the next twelve months and anticipates that the total amount of unrecognized tax benefits may change within the next twelve months for additional uncertain tax positions taken on a go-forward basis. If favorably resolved, the unrecognized tax benefits would decrease the Company’s effective tax rate.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statutory federal tax rate was 21% during both periods. The Company has operations in seven U.S. geographic markets: Illinois, Maryland, Massachusetts, Michigan, New Jersey, Ohio, and Pennsylvania, which have state tax rates ranging from 6% to 11.5%. Certain states, including Illinois, Maryland, Massachusetts, Michigan, New Jersey, and Pennsylvania do not align with IRC Section 280E for state tax purposes and permit the deduction of ordinary and necessary business expenses from gross profit in the calculation of state taxable income. There have been no material changes to income tax matters in connection with the normal course of our operations during the current year.</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income tax expense was $11,907, or 26.5%, of gross profit, during the three months ended March 31, 2026, as compared to an income tax expense of $11,031, or 27.9%, of gross profit, during the three months ended March 31, 2025. The effective tax rate on gross profit for the three months ended March 31, 2026 reflects a net benefit from the tax treatment of a settlement payment and certain acquired intangible assets, partially offset by a $1,095 increase in the Company’s valuation allowance for certain deferred tax assets. Refer to Note 14, “Income Taxes,” in the Financial Statements for additional information regarding the Company’s income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46</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Gross Profit” as gross profit excluding non-cash inventory costs, which include depreciation and amortization included in cost of goods sold, equity-based compensation included in cost of goods sold, and other non-cash inventory adjustments. We define “Adjusted Gross Margin” as Adjusted Gross Profit as a percentage of net revenue. Our “Adjusted EBITDA” is a non-GAAP measure used by management that is not defined by U.S. GAAP and may not be comparable to similar measures presented by other companies. We define “Adjusted EBITDA Margin” as Adjusted EBITDA as a percentage of net revenue. Management calculates Adjusted EBITDA as the reported net income or loss, adjusted to exclude: income tax expense, other (income) expense, interest expense, depreciation and amortization, depreciation and amortization included in cost of goods sold, non-cash inventory adjustments, equity-based compensation, equity-based compensation included in cost of goods sold, start-up costs, start-up costs included in cost of goods sold, transaction-related and other non-recurring expenses, gain or loss on sale of assets, and litigation settlement, as applicable. Accordingly, management believes that Adjusted EBITDA provides meaningful and useful financial information, as this measure demonstrates the operating performance of the business. The tables below provide reconciliations of these non-GAAP measures to the most comparable U.S. GAAP financial measure. Non-GAAP financial measures may be considered in addition to the results prepared in accordance with U.S. GAAP, but they should not be considered a substitute for, or superior to, U.S. GAAP results. The Company’s presentation of these financial measures may not be comparable to similar non-GAAP measures used by other companies.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Adjusted Gross Profit for the three months ended March 31, 2026 and 2025:</w:t>
      </w:r>
    </w:p>
    <w:tbl>
      <w:tblPr>
        <w:tblW w:w="8268" w:type="dxa"/>
        <w:jc w:val="left"/>
        <w:tblInd w:w="0" w:type="dxa"/>
        <w:tblLayout w:type="fixed"/>
        <w:tblCellMar>
          <w:top w:w="28" w:type="dxa"/>
          <w:left w:w="28" w:type="dxa"/>
          <w:bottom w:w="28" w:type="dxa"/>
          <w:right w:w="28" w:type="dxa"/>
        </w:tblCellMar>
      </w:tblPr>
      <w:tblGrid>
        <w:gridCol w:w="1840"/>
        <w:gridCol w:w="1618"/>
        <w:gridCol w:w="1626"/>
        <w:gridCol w:w="211"/>
        <w:gridCol w:w="721"/>
        <w:gridCol w:w="256"/>
        <w:gridCol w:w="109"/>
        <w:gridCol w:w="109"/>
        <w:gridCol w:w="109"/>
        <w:gridCol w:w="211"/>
        <w:gridCol w:w="721"/>
        <w:gridCol w:w="256"/>
        <w:gridCol w:w="109"/>
        <w:gridCol w:w="109"/>
        <w:gridCol w:w="109"/>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 in thousands)</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included in 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included in cost of goods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Non-cash inventory adjustments</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53,932 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Adjusted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46.1</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40.8</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Consists of write-offs of expired products, obsolete packaging, and net realizable value adjustments related to certain inventory items.</w:t>
      </w:r>
    </w:p>
    <w:p>
      <w:pPr>
        <w:pStyle w:val="TextBody"/>
        <w:bidi w:val="0"/>
        <w:spacing w:before="0" w:after="180"/>
        <w:ind w:left="0" w:right="0" w:firstLine="720"/>
        <w:jc w:val="both"/>
        <w:rPr/>
      </w:pPr>
      <w:r>
        <w:rPr/>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47</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Adjusted EBITDA for the three months ended March 31, 2026 and 2025:</w:t>
      </w:r>
    </w:p>
    <w:tbl>
      <w:tblPr>
        <w:tblW w:w="7938" w:type="dxa"/>
        <w:jc w:val="left"/>
        <w:tblInd w:w="0" w:type="dxa"/>
        <w:tblLayout w:type="fixed"/>
        <w:tblCellMar>
          <w:top w:w="28" w:type="dxa"/>
          <w:left w:w="28" w:type="dxa"/>
          <w:bottom w:w="28" w:type="dxa"/>
          <w:right w:w="28" w:type="dxa"/>
        </w:tblCellMar>
      </w:tblPr>
      <w:tblGrid>
        <w:gridCol w:w="1666"/>
        <w:gridCol w:w="1465"/>
        <w:gridCol w:w="1473"/>
        <w:gridCol w:w="211"/>
        <w:gridCol w:w="796"/>
        <w:gridCol w:w="256"/>
        <w:gridCol w:w="109"/>
        <w:gridCol w:w="109"/>
        <w:gridCol w:w="109"/>
        <w:gridCol w:w="211"/>
        <w:gridCol w:w="796"/>
        <w:gridCol w:w="256"/>
        <w:gridCol w:w="109"/>
        <w:gridCol w:w="109"/>
        <w:gridCol w:w="109"/>
        <w:gridCol w:w="154"/>
      </w:tblGrid>
      <w:tr>
        <w:trPr/>
        <w:tc>
          <w:tcPr>
            <w:tcW w:w="1666"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 in thousands)</w:t>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Non-cash inventory adjustments</w:t>
            </w:r>
            <w:r>
              <w:rPr>
                <w:rFonts w:ascii="Times New Roman;serif" w:hAnsi="Times New Roman;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Start-up costs</w:t>
            </w:r>
            <w:r>
              <w:rPr>
                <w:rFonts w:ascii="Times New Roman;serif" w:hAnsi="Times New Roman;serif"/>
                <w:b w:val="false"/>
                <w:color w:val="000000"/>
                <w:sz w:val="13"/>
              </w:rPr>
              <w:t>(2)</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Transaction-related and other non-recurring expenses</w:t>
            </w:r>
            <w:r>
              <w:rPr>
                <w:rFonts w:ascii="Times New Roman;serif" w:hAnsi="Times New Roman;serif"/>
                <w:b w:val="false"/>
                <w:color w:val="000000"/>
                <w:sz w:val="13"/>
              </w:rPr>
              <w:t>(3)</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Adjusted EBITDA Margin</w:t>
            </w:r>
          </w:p>
        </w:tc>
        <w:tc>
          <w:tcPr>
            <w:tcW w:w="10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22.5</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21.1</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Consists of write-offs of expired products, obsolete packaging, and net realizable value adjustments related to certain inventory items.</w:t>
      </w:r>
    </w:p>
    <w:p>
      <w:pPr>
        <w:pStyle w:val="TextBody"/>
        <w:bidi w:val="0"/>
        <w:spacing w:lineRule="auto" w:line="288" w:before="0" w:after="12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One-time costs associated with acquiring real estate, obtaining licenses and permits, and other costs incurred before commencement of operations at certain locations, as well as incremental expenses associated with the expansion of activities at our cultivation facilities that are not yet operating at scale, other expenses resulting from delays in regulatory approvals, and other related one-time or non-recurring expenses, as applicable. The three months ended March 31, 2026 also includes $2,314</w:t>
      </w:r>
      <w:r>
        <w:rPr>
          <w:color w:val="000000"/>
        </w:rPr>
        <w:t xml:space="preserve"> </w:t>
      </w:r>
      <w:r>
        <w:rPr>
          <w:rFonts w:ascii="Times New Roman;serif" w:hAnsi="Times New Roman;serif"/>
          <w:b w:val="false"/>
          <w:color w:val="000000"/>
          <w:sz w:val="18"/>
        </w:rPr>
        <w:t xml:space="preserve">of unallocated overhead expenses at certain cultivation facilities resulting from a rebalancing of overhead expenses from cost of goods sold to general and administrative expenses based on overhead allocations relative to production output at those locations. </w:t>
      </w:r>
    </w:p>
    <w:p>
      <w:pPr>
        <w:pStyle w:val="TextBody"/>
        <w:bidi w:val="0"/>
        <w:spacing w:lineRule="auto" w:line="288" w:before="0" w:after="18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Other non-recurring expenses including legal and professional fees associated with litigation matters, potential acquisitions, other regulatory matters, and other reserves or one-time expenses, including certain non-recurring professional fees and severance expenses associated with certain strategic initiatives. The three months ended March 31, 2026 includes a net reduction of approximately $432 of acquisition-related earn-out fair value adjustments, a $340 reversal of an acquisition earn-out that was not achieved, and $244 of property development expense write-offs. The three months ended March 31, 2025 includes approximately $400 of expenses associated with our January 2025 term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48</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and our primary sources of liquidity are operating cash flows, borrowings through the issuance of debt, and funds raised through the issuance of equity securities. We are generating cash from sales and deploying our capital reserves to acquire and develop assets capable of producing additional revenue and earnings over both the immediate and long term. Capital reserves are being utilized for acquisitions in the medical and adult-use cannabis markets, capital expenditures and improvements in existing facilities, and product development and marketing, as well as customer, supplier, and investor and industry relations.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Financing History and Future Capital Requirements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we have used private financing as a source of liquidity for short-term working capital needs and general corporate purposes. In May 2021, we completed an initial public offering of shares of our Class A common stock through which we raised aggregate net proceeds of approximately $86,065, after deducting underwriting discounts and commissions and certain direct offering expenses paid by us. In August 2021, we entered into a credit facility under which we initially borrowed $210,000 through term loans. During the second quarter of 2022, we borrowed an additional $65,000 of term loans from certain lenders under the expansion feature of this credit facility, as further described below. During the second quarter of 2023, we raised an aggregate of $7,000 in gross proceeds through a non-brokered private placement offering of an aggregate of 9,859 shares of the Company’s Class A common stock to a single investor. In July 2024 we issued term notes in aggregate principal of $235,000, which proceeds were used, together with cash on hand, to prepay a portion of our other term loans then-outstanding, as discussed further below. In January 2025, we issued an additional $15,000, in aggregate principal of term loans, for general corporate purposes, including to fund growth initiatives, and in May 2025 we issued an additional $50,000, in aggregate principal of term loans, which proceeds were utilized, along with cash on hand, to prepay the remaining $60,000 then-outstanding under our previous credit facility, as discussed further below.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ability to fund operations, to make planned capital expenditures, to acquire other entities or investments, to make scheduled debt payments, and to repay or refinance indebtedness depends on our future operating performance, cash flows, and ability to obtain equity or debt financing, which are subject to prevailing economic conditions, as well as financial, business, and other factors, some of which are beyond our control.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we had total current liabilities of $88,458 and $109,009, respectively, and total current assets of $188,964 and $208,949, respectively, which includes cash and cash equivalents of $60,920 and $85,676, respectively, to meet our current obligations. As of March 31, 2026, we had working capital of $100,506, compared to $99,940 as of 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Approximately 91% and 94% of our cash and cash equivalents balance as of March 31, 2026 and December 31, 2025, respectively, is on deposit with banks, credit unions, or other financial institutions. We have not experienced any material impacts related to banking restrictions applicable to cannabis businesses. Our cash and cash equivalents balance is not restricted for use by VIEs.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reflected in the Financial Statements, we have had recurring losses that have resulted in an accumulated deficit as of March 31, 2026 and December 31, 2025. As of March 31, 2026, we had cash and cash equivalents of $60,920, which, combined with anticipated cash flows from operating activities, management believes is more than adequate to support operations for the next twelve months from the date of issuance of this Quarterly Report on Form 10-Q. Over the longer term, management expects to fund our operations and strategic initiatives with cash flows from operating activities and existing financing arrangements, and we currently do not have significant debt maturities until 2029. Management may continue to access capital markets for additional funding through debt and/or equity financings to supplement future cash needs, as may be required. However, management cannot provide any assurances that the Company will be successful in accomplishing its business plans. If we are unable to raise additional capital on favorable terms, if at all, whenever necessary, we may be forced to decelerate or curtail certain of our operations until such time as additional capital becomes available. </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3"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49</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2024 Term Notes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16, 2024, the Company issued $235,000 in aggregate principal of senior secured notes due July 16, 2029 (the “July 2024 Term Notes”) through a private placement (the “2024 Notes Offering”) pursuant to an indenture agreement (the “July 2024 Loan Agreement”). The July 2024 Term Notes were issued at 94.75% of face value and do not require scheduled principal amortization payments. The total of the original issue discount and other capitalized direct financing fees was approximately $21,200 and will be amortized over the associated term using the straight-line method, which approximates the interest method. The Company utilized the proceeds from the 2024 Notes Offering, along with cash on hand, to prepay $215,000 of borrowings then-outstanding under a previous credit facility (the “2021 Credit Facility”). The July 2024 Loan Agreement permitted the Company, subject to certain limitations, to issue additional notes thereunder, including up to an additional $60,000 in aggregate principal, with the proceeds therefrom to be used to prepay the remaining outstanding balance under, and to terminate, the 2021 Credit Facility.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borrowed an additional $15,000 through the issuance of additional term notes (the “January 2025 Term Notes”). The January 2025 Term Notes were issued at 97% of face value and are subject to the same terms and provisions of the July 2024 Loan Agreement, including the interest rate and maturity date thereunder, as further described below. In May 2025, the Company issued an additional $50,000, in aggregate principal, of term notes (the “May 2025 Term Notes” and, together with the July 2024 Term Notes and January 2025 Term Notes, the “2024 Term Notes”) which proceeds were utilized, along with cash on hand, to prepay the remaining $60,000 of borrowings outstanding under the 2021 Credit Facility.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2024 Term Notes bear interest at a rate of 12.75% per annum, payable semi-annually in arrears on January 15 and July 15 of each year until the maturity date, commencing on January 15, 2025, unless earlier prepaid in accordance with the terms of the July 2024 Loan Agreement. In conjunction with the May 2025 Term Notes, those lenders prepaid $2,323 of accrued interest from the January 15 interest payment date through issuance, and, in turn, those lenders received interest for the full interest payment period that was payable on July 15, 2025. The 2024 Term Notes are irrevocably and unconditionally guaranteed, jointly and severally, on a senior secured basis by certain of the Company’s subsidiaries (the “Guarantees”). The 2024 Term Notes and the Guarantees are (i) secured, on a first lien basis, by substantially all assets of the Company and the guarantors of the July 2024 Term Notes, subject to certain carveouts, and (ii) issued and governed by the July 2024 Loan Agreement.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may, at any time and from time to time upon not less than 15 nor more than 60 days’ prior notice, prepay the 2024 Term Notes, along with accrued and unpaid interest, subject to a prepayment premium. The July 2024 Loan Agreement requires mandatory prepayments from proceeds of certain events. In the event of a change of control, as provided in the July 2024 Loan Agreement, the Company will be required to make an offer to each holder of the 2024 Term Notes to repay all or any part of such holders’ 2024 Term Notes at a price in cash equal to not less than 101% of the aggregate principal amount of such 2024 Term Notes repaid, plus accrued and unpaid interest thereon.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July 2024 Loan Agreement, the Company has agreed to comply with certain customary covenants, including, but not limited to, restrictions on the Company’s ability to: declare or pay dividends or make certain other payments; purchase, redeem, or otherwise purchase or retire for value any equity interests or any subordinated indebtedness or otherwise make any restricted investment or restricted payment; incur certain indebtedness; create certain liens; consolidate, amalgamate, merge, or transfer all or substantially all of the assets of the Company and certain restricted subsidiaries taken as a whole; enter into certain transactions with affiliates; and engage in certain types of businesses. Additionally, the July 2024 Loan Agreement provides for customary events of default which, if certain of them occur, would permit certain parties, including holders of not less than 25% in aggregate principal of the then-outstanding 2024 Term Notes to declare the principal of, and interest or premium, if any, and any other monetary obligations on, all the then-outstanding 2024 Term Notes to be due and payable immediately.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50</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amended, the July 2024 Loan Agreement requires the Company, on a consolidated basis, to maintain liquidity, consisting of cash and/or cash equivalents plus any future revolving credit availability, as of the last day of each fiscal month, as amended, in an aggregate amount of at least $20,000, with which the Company was in compliance as of March 31, 2026. The Company is required to comply with certain other financial covenants in contemplation of certain transactions or events, such as acquisitions and other financing activities, as defined within and provided for under the July 2024 Loan Agreement, as amended.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 to Note 11, “Debt,” in the Financial Statements for additional information regarding the July 2024 Loan Agreement and the Company’s other debt transactions.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Mortgage Note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29, 2025, certain of the Company’s subsidiaries (the “Borrowing Subsidiaries”) entered into a loan agreement and related promissory note with an aggregate principal amount of $9,345 (the “Mortgage Note”), which was borrowed in full. The Company anticipates utilizing the net proceeds for general corporate purposes, including to fund growth initiatives. The Mortgage Note matures on September 29, 2030 and borrowings thereunder bear interest at a rate of 8.5% per annum. Principal will be repaid based on an amortization period of twenty years and any unpaid principal and accrued interest will be due and payable upon maturity. Monthly payments of principal and interest commenced on November 1, 2025. As of March 31, 2026 and December 31, 2025, $191 and $187, respectively, of principal is included within “Current portion of debt, net” and $9,082 and $9,133, respectively, is included within “Long-term debt, net” on the unaudited Condensed Consolidated Balance Sheets in the Financial Statements. The obligations under the Mortgage Note are secured by mortgages on three properties that the Company owns in Ohio, as well as assignment of any leases and rent amounts related to these properties that the Company may enter into. The Mortgage Note contains customary representations and events of default. The Borrowing Subsidiaries have agreed to comply with certain customary covenants, including, but not limited to, restrictions on their ability to: incur additional indebtedness; create certain liens; make material changes to the nature of the business conducted; and sell, lease, transfer, or otherwise dispose of all or a substantial part of their assets. The Mortgage Note also requires the Borrowing Subsidiaries to maintain a debt service coverage ratio (as defined in the Mortgage Note) of not less than 1.30 to 1.00 measured annually based on the entire calendar year and commencing on December 31, 2026.</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Cash Flows</w:t>
      </w:r>
    </w:p>
    <w:tbl>
      <w:tblPr>
        <w:tblW w:w="7045" w:type="dxa"/>
        <w:jc w:val="left"/>
        <w:tblInd w:w="0" w:type="dxa"/>
        <w:tblLayout w:type="fixed"/>
        <w:tblCellMar>
          <w:top w:w="28" w:type="dxa"/>
          <w:left w:w="28" w:type="dxa"/>
          <w:bottom w:w="28" w:type="dxa"/>
          <w:right w:w="28" w:type="dxa"/>
        </w:tblCellMar>
      </w:tblPr>
      <w:tblGrid>
        <w:gridCol w:w="1526"/>
        <w:gridCol w:w="1342"/>
        <w:gridCol w:w="1346"/>
        <w:gridCol w:w="246"/>
        <w:gridCol w:w="931"/>
        <w:gridCol w:w="127"/>
        <w:gridCol w:w="127"/>
        <w:gridCol w:w="127"/>
        <w:gridCol w:w="127"/>
        <w:gridCol w:w="246"/>
        <w:gridCol w:w="720"/>
        <w:gridCol w:w="180"/>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42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was $19,411 during the three months ended March 31, 2026, as compared to $5,939 of net cash provided during the three months ended March 31, 2025. The current year reflects $19,323 of cash interest paid on debt arrangements, compared with $16,400 paid for interest in the prior year, and a $17,000 settlement payment associated with a previous litigation matter, which were offset by a net improvement from working capital management. </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$4,753 during the three months ended March 31, 2026, as compared to $7,847 during the three months ended March 31, 2025. The current year includes proceeds received from the settlement of a previous loan receivable and the sale of certain assets, and reflects lower capital expenditures, which were offset by higher payments associated with acquisitions as compared to the prior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5"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51</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$592 during the three months ended March 31, 2026, as compared to $13,688 of net cash provided during the three months ended March 31, 2025. The current period reflects repayments under finance leases and the remittance of taxes withheld under equity compensation plans, whereas the prior year reflects the receipt of proceeds from the issuance of the January 2025 Term Notes, net of related financing costs, offset by repurchases of common stock and repayments under finance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Contractual Obligations and Other Commitments and Contingencies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Material contractual obligations arising in the normal course of business primarily consist of long-term fixed rate debt and related interest payments, leases, finance arrangements, and amounts due for acquisitions. We believe that cash flows from operations will be sufficient to satisfy our capital expenditures, debt services, working capital needs, and other contractual obligations for the next twelve months.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material future contractual obligations as of March 31, 2026:</w:t>
      </w:r>
    </w:p>
    <w:tbl>
      <w:tblPr>
        <w:tblW w:w="10205" w:type="dxa"/>
        <w:jc w:val="left"/>
        <w:tblInd w:w="0" w:type="dxa"/>
        <w:tblLayout w:type="fixed"/>
        <w:tblCellMar>
          <w:top w:w="28" w:type="dxa"/>
          <w:left w:w="28" w:type="dxa"/>
          <w:bottom w:w="28" w:type="dxa"/>
          <w:right w:w="28" w:type="dxa"/>
        </w:tblCellMar>
      </w:tblPr>
      <w:tblGrid>
        <w:gridCol w:w="847"/>
        <w:gridCol w:w="739"/>
        <w:gridCol w:w="744"/>
        <w:gridCol w:w="109"/>
        <w:gridCol w:w="109"/>
        <w:gridCol w:w="109"/>
        <w:gridCol w:w="211"/>
        <w:gridCol w:w="976"/>
        <w:gridCol w:w="109"/>
        <w:gridCol w:w="109"/>
        <w:gridCol w:w="109"/>
        <w:gridCol w:w="109"/>
        <w:gridCol w:w="295"/>
        <w:gridCol w:w="1010"/>
        <w:gridCol w:w="154"/>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84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Commitments Due by Period</w:t>
            </w:r>
          </w:p>
        </w:tc>
      </w:tr>
      <w:tr>
        <w:trPr/>
        <w:tc>
          <w:tcPr>
            <w:tcW w:w="2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Contractual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Remainder of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2027 - 2028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2029 - 2030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Thereafter</w:t>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Term notes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Fixed interest related to term notes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Mortgage Note</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Sellers’ notes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leases</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Finance leases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Finance arrangements</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1,339,484 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454,468 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634,235 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Principal payments due under our term notes payable as of March 31, 2026. Refer to Note 11, “Debt,” in the Financial Statements for additional information regarding our debt arrangements.</w:t>
      </w:r>
    </w:p>
    <w:p>
      <w:pPr>
        <w:pStyle w:val="TextBody"/>
        <w:bidi w:val="0"/>
        <w:spacing w:lineRule="auto" w:line="288" w:before="0" w:after="12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Represents fixed interest rate payments on borrowings under our term notes payable based on the principal outstanding as of March 31, 2026. Interest payments could fluctuate based on prepayments or additional amounts borrowed.</w:t>
      </w:r>
    </w:p>
    <w:p>
      <w:pPr>
        <w:pStyle w:val="TextBody"/>
        <w:bidi w:val="0"/>
        <w:spacing w:lineRule="auto" w:line="288" w:before="0" w:after="12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Represents payments due monthly on borrowings under our Mortgage Note, which consist of principal and interest. Refer to Note 11, “Debt,” in the Financial Statements for additional information.</w:t>
      </w:r>
    </w:p>
    <w:p>
      <w:pPr>
        <w:pStyle w:val="TextBody"/>
        <w:bidi w:val="0"/>
        <w:spacing w:lineRule="auto" w:line="288" w:before="0" w:after="12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Consists of amounts owed for acquisitions or other similar transactions. Certain cash payments include an interest accretion component, and the timing of certain payments may vary based on regulatory approval. Refer to Note 11, “Debt,” in the Financial Statements for additional information.</w:t>
      </w:r>
    </w:p>
    <w:p>
      <w:pPr>
        <w:pStyle w:val="TextBody"/>
        <w:bidi w:val="0"/>
        <w:spacing w:lineRule="auto" w:line="288" w:before="0" w:after="120"/>
        <w:ind w:left="0" w:right="0" w:hanging="360"/>
        <w:jc w:val="both"/>
        <w:rPr/>
      </w:pPr>
      <w:r>
        <w:rPr>
          <w:rFonts w:ascii="Times New Roman;serif" w:hAnsi="Times New Roman;serif"/>
          <w:b w:val="false"/>
          <w:color w:val="000000"/>
          <w:sz w:val="12"/>
        </w:rPr>
        <w:t>(5)</w:t>
      </w:r>
      <w:r>
        <w:rPr>
          <w:rFonts w:ascii="Times New Roman;serif" w:hAnsi="Times New Roman;serif"/>
          <w:b w:val="false"/>
          <w:color w:val="000000"/>
          <w:sz w:val="18"/>
        </w:rPr>
        <w:t>Reflects our contractual obligations to make future payments under non-cancelable leases and an estimate for anticipated extension periods, as applicable. Refer to Note 10, “Leases,” in the Financial Statements for additional information.</w:t>
      </w:r>
    </w:p>
    <w:p>
      <w:pPr>
        <w:pStyle w:val="TextBody"/>
        <w:bidi w:val="0"/>
        <w:spacing w:lineRule="auto" w:line="288" w:before="0" w:after="180"/>
        <w:ind w:left="0" w:right="0" w:hanging="360"/>
        <w:jc w:val="both"/>
        <w:rPr/>
      </w:pPr>
      <w:r>
        <w:rPr>
          <w:rFonts w:ascii="Times New Roman;serif" w:hAnsi="Times New Roman;serif"/>
          <w:b w:val="false"/>
          <w:color w:val="000000"/>
          <w:sz w:val="12"/>
        </w:rPr>
        <w:t>(6)</w:t>
      </w:r>
      <w:r>
        <w:rPr>
          <w:rFonts w:ascii="Times New Roman;serif" w:hAnsi="Times New Roman;serif"/>
          <w:b w:val="false"/>
          <w:color w:val="000000"/>
          <w:sz w:val="18"/>
        </w:rPr>
        <w:t>Reflects our contractual obligations to make future payments under non-cancelable operating leases that did not meet the criteria to qualify for sale-leaseback treatment. Refer to Note 10, “Leases,” in the Financial Statements for additional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above excludes up to an additional total of $10,000 that we expect to fund under a research collaboration agreement associated with a prior acquisition and of which $819 was remitted during 2025. The remainder will be paid based on a percentage of annual revenue through April 2031, unless satisfied earlier. Refer to Note 15, “Commitments and Contingencies,” in the Financial Statements for additional information. Additionally, the Company has commercial relationships with license holders across the markets in which it operates with mutually beneficial purchasing and supply arrangements entered into in the ordinary course of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6"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52</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date of this filing, we do not have any off-balance sheet arrangements, as defined by applicable regulations of the SEC, that have, or are reasonably likely to have, a material current or future effect on the results of our operations or financial condition, including, and without limitation, such considerations as liquidity and capital resources.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Capital Expenditures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anticipate net capital expenditures of approximately $20,000 during 2026. Changes to this estimate could result from the timing of various project start dates, which are subject to local and regulatory approvals, as well as capital allocation considerations. Spending at our cultivation and processing facilities includes: construction; purchase of capital equipment such as extraction equipment, heating, ventilation, and air conditioning equipment, and other manufacturing equipment; general maintenance; and information technology capital expenditures. Dispensary-related capital expenditures includes construction costs for the initial build-out of each location, general maintenance costs, and upgrades to existing locations.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2026, we expect to provide funding for partner dispensaries and the build out of additional dispensaries across our network. We also anticipate completing certain expansion projects across our cultivation facilities in addition to other enhancements and general maintenance activities across our portfolio. Management expects to fund capital expenditures primarily by utilizing cash flows from operations.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our construction in progress (“CIP”) balance was $9,873 and relates to capital spending on projects that were not yet complete. This balance includes amounts related to: certain enhancement projects at our New Jersey, Illinois, Michigan, and Massachusetts cultivation facilities; certain build out projects at partner dispensaries; and other projects across our dispensaries and cultivation facilities.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Conversion of Shares of Class B Common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4, 2026, in accordance with the automatic conversion provisions of the Company’s certificate of incorporation, each share of Class B common stock then outstanding automatically converted into one share of Class A common stock on a one-for-one basis. Accordingly, all 65 shares of Class B common stock that were issued and outstanding were converted and retired effective May 4, 2026. Refer to Note 12, “Stockholders’ Equity,” in the Financial Statements for additional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Equity Incentive Plans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current stock incentive plan, as amended, (the “Amended 2021 Plan”), authorizes the issuance of options, stock appreciation rights, restricted stock awards, restricted stock units (“RSUs”), and other stock-based awards (collectively the “2021 Plan Awards”). The Amended 2021 Plan provides for a maximum number of shares of Class A common stock available for issuance to not exceed 10% of the total number of issued and outstanding shares of Class A common stock, on a non-diluted basis, as constituted on the grant date of a plan award. As of March 31, 2026, there were 6,559 shares of Class A common stock available for grant for future equity-based compensation awards under the Amended 2021 Plan.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no RSUs were granted under the Amended 2021 Plan, and a total of 1,461 that were previously granted were unvested as of March 31, 2026. Total unrecognized compensation cost related to the RSUs was $1,393 as of March 31, 2026, which is expected to be recognized over a weighted-average remaining period of 1.8 years.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 total of 12,256 stock option awards are outstanding under the Amended 2021 Plan, of which 6,237 are exercisable. A total of 200 stock option awards were granted during the three months ended March 31, 2026 and a total of 65 were exercised. As of March 31, 2026, the outstanding options have a remaining weighted-average contractual life of 1.4 years and total unrecognized stock-based compensation expense related to unvested options was $654, which is expected to be recognized over a weighted-average remaining period of 1.0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7"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53</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recognized $121 and $378, respectively, of equity-based compensation expense within “General and administrative expenses” on the unaudited Condensed Consolidated Statements of Operations in the Financial Statements and recognized $326 and $1,138, respectively, within “Cost of goods sold.”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2021, the Company adopted an employee stock purchase plan (the “2021 ESPP”), pursuant to which 4,000 shares of Class A common stock are reserved for issuance thereunder, subject to certain adjustments and other terms. As of March 31, 2026, no shares have been issued under the 2021 ESPP.</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13, “Equity-Based Compensation Expense,” in the Financial Statements for additional information regarding the Company’s equity awards and equity-based compensation expense.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Lease-Related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10, “Leases,” in the Financial Statements for additional information regarding the Company’s leases and lease-related transactions.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Below is a description of our significant legal matters and the related impact, as applicable, on our financial condition, results of operations, and prospects. Refer to Note 15, “Commitments and Contingencies,” in the Financial Statements for information regarding the Company’s significant legal matters.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Green Thumb Industries Arbitration Matter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11, 2026, the Company entered into a settlement agreement (the “Settlement Agreement”) with Green Thumb Industries Inc. and TWD18, LLC (collectively, “GTI”), pursuant to which the parties agreed to resolve an arbitration matter that concerned certain contractual obligations and payment terms arising out of prior commercial arrangements between the parties for a negotiated payment amount of $17,000. This payment amount was included within “Accounts payable and accrued liabilities” on the unaudited Condensed Consolidated Balance Sheet as of December 31, 2025 and was subsequently paid on February 12, 2026, thereby satisfying the arbitration award and resolving all claims asserted in the arbitration proceeding. This matter is not expected to affect the Company’s other commercial relationships with GTI and is not expected to result in a material disruption to the Company’s ongoing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State of Ohio Complaint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6, 2026, the Attorney General of the State of Ohio filed a complaint against the Company and eight other multi-state operators (“MSOs”) in the cannabis industry with operations in Ohio, alleging anticompetitive collusion among the MSOs to exclude single state operators based in Ohio from the cannabis market. The Company denies the claims with respect to the Company and plans to vigorously contest the case.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8"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54</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Pending Transactions and Other Activity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2025, the Company entered into a definitive agreement pursuant to which the Company proposes to acquire an entity in Ohio that owns and operates a dispensary in Ohio and receive $1,000 of cash consideration in exchange for an entity that holds a conditional dispensary license that the Company expects to receive. This transaction is subject to certain closing conditions, including regulatory approvals. This transaction is with a specific buyer and the Company determined the underlying assets do not meet the criteria to be classified as held-for-sale as of March 31, 2026.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remitted a total of $3,200 for deposits towards future potential transactions. These amounts are included within “Other current assets” on the unaudited Condensed Consolidated Balance Sheet in the Financial Statements as of March 31, 2026 and within “Payments for acquisition of businesses and related deposits, net of cash acquired” on the unaudited condensed consolidated statements of cash flows for the three months ended March 31, 2026.</w:t>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Subsequent Transactions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entered into a loan agreement through which the Company may, at its sole discretion, provide financing to Northeast Retail Partner Seven and will also provide certain business, operational, and financial advisory services to Northeast Retail Partner Seven pursuant to a support services agreement. Accordingly, the Company has determined that Northeast Retail Partner Seven has met the criteria to be consolidated as a VIE. In April 2026, Northeast Retail Partner Seven entered into a definitive agreement pursuant to which it anticipates acquiring licenses associated with two dispensaries in the Northeast. Total cash consideration for this transaction is $3,600, of which $800 was remitted in May 2026, with the remainder due at final closing and subject to customary closing adjustments, as applicable. The third party also anticipates assuming the leases for the dispensary locations. In conjunction with this definitive agreement, the parties also entered into a consulting services agreement pursuant to which the third party will advise on certain business, operational, and financial matters for a monthly fee while the transaction is pending. The Company is in the process of evaluating the accounting for the April 2026 transaction described herein and expects this transaction will be consolidated as a business combination as of the effective date.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the end of the quarter, the Company made the decision that it will temporarily suspend operations at its Lansing, Michigan facility toward the end of the second quarter of 2026 to prepare for remediation activities related to a fire incident at the site that was contained. The Company does not anticipate a material impact on its Michigan business. </w:t>
      </w:r>
    </w:p>
    <w:p>
      <w:pPr>
        <w:pStyle w:val="TextBody"/>
        <w:bidi w:val="0"/>
        <w:spacing w:before="0" w:after="18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9"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55</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accompanying Financial Statements are prepared in accordance with U.S. GAAP, which requires us to make certain estimates in the application of our accounting policies based on the best assumptions, judgments, and opinions of our management. The Company’s significant accounting policies are described in Note 2, “Basis of Presentation and Significant Accounting Policies,” in the Financial Statements. For a description of our critical accounting policies, see Item 7., “Management’s Discussion and Analysis of Financial Condition and Results of Operations,” in our Annual Report. There have been no significant changes to our critical accounting policies and estimates discussed in our Annual Report.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Recently Adopted Accounting Standards and Recently Issued Accounting Pronouncements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information about recently issued accounting standards that have not yet been adopted, see Note 2, “Basis of Presentation and Significant Accounting Policies,” to the Financial Statements.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an emerging growth company under federal securities laws and as such we are able to elect to follow scaled disclosure requirements for this filing, including an extended transition period for complying with new or revised accounting standards applicable to public companies.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REGULATORY ENVIRONMENT: ISSUERS WITH UNITED STATES CANNABIS-RELATED ASSETS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the Canadian Securities Administration Staff Notice 51-352, information regarding the current federal and state-level United States regulatory regimes in those jurisdictions where we are currently directly and indirectly involved in the cannabis industry, through our subsidiaries and investments, is incorporated by reference from subsections “Overview of Government Regulation,” “Compliance with Applicable State Laws in the United States,” and “State Regulation of Cannabis,” under Item 1., “Business,” of the Company’s Annual Report, as filed with the SEC and with the relevant Canadian securities regulatory authorities under its profile on SEDAR+.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in varying degrees to various market risks, including changes in interest rates, prices of raw materials, and other financial instrument related risks. There have been no material changes in our market risks from those disclosed in Item 7A., “Quantitative and Qualitative Disclosures About Market Risk,” in our Annual Report on Form 10-K for the year ended December 31, 2025.</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Liquidity Risk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Liquidity risk is the risk that we will not be able to meet our financial obligations associated with financial liabilities. We manage liquidity risk through the effective management of our capital structure. Our approach to managing liquidity is to ensure that we will have sufficient liquidity at all times to settle obligations and liabilities when due.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had recurring losses that have resulted in an accumulated deficit as of March 31, 2026 and December 31, 2025. As of March 31, 2026, the Company had cash and cash equivalents of $60,920, which, combined with anticipated cash flows from operating activities, management believes is more than adequate to support operations for the next twelve months from the date of issuance of this Quarterly Report on Form 10-Q. Management may continue to access capital markets for additional funding through debt and/or equity financings to supplement future cash needs, as may be required. However, management cannot provide any assurances that we will be successful in accomplishing our business plans. If we are unable to raise additional capital on favorable terms, if at all, whenever necessary, we may be forced to decelerate or curtail certain of our operations until such time as additional capital becomes available.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60"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56</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a.Disclosure Controls and Procedures.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end of the period covered by this report, our Principal Executive Officer and Principal Financial Officer evaluated our disclosure controls and procedures, as such term is defined in Rule 13a-15(e) and 15d-15(e) of the Securities Exchange Act of 1934, as amended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 and (2) accumulated and communicated to our management, including our Principal Executive Officer and Principal Financial Officer, to allow timely decisions regarding required disclosure. </w:t>
      </w: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b.Changes in Internal Control Over Financial Reporting.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identified in connection with the evaluation described above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61"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57</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 discussion of our litigation matters occurring in the period covered by this report is found in </w:t>
      </w:r>
      <w:hyperlink w:anchor="ib47f103f7fc4488f91e0827e797416ff_82">
        <w:r>
          <w:rPr>
            <w:rStyle w:val="InternetLink"/>
            <w:rFonts w:ascii="Times New Roman;serif" w:hAnsi="Times New Roman;serif"/>
            <w:b w:val="false"/>
            <w:color w:val="0000FF"/>
            <w:sz w:val="20"/>
            <w:u w:val="single"/>
          </w:rPr>
          <w:t>Note 15</w:t>
        </w:r>
      </w:hyperlink>
      <w:r>
        <w:rPr>
          <w:rFonts w:ascii="Times New Roman;serif" w:hAnsi="Times New Roman;serif"/>
          <w:b w:val="false"/>
          <w:color w:val="000000"/>
          <w:sz w:val="20"/>
        </w:rPr>
        <w:t>, “Commitments and Contingencies,” to the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set forth below, as of the date of this filing, there have been no material changes in our risk factors from those disclosed in our Annual Report on Form 10-K for the year ended December 31, 2025, in response to Item 1A., “Risk Factors,” of Part I of the Annual Report. The risk factor set forth below should be read in conjunction with, and supplements, the risk factors disclosed in the Annual Report.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are subject to risks and uncertainties relating to the April 23, 2026 order issued by the U.S. Department of Justice rescheduling certain medical cannabis to Schedule III (the “April 2026 Order”) and the related pending DEA administrative proceedings concerning broader cannabis rescheduling.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revenue is derived from sales of both medical and adult-use cannabis operations. The April 2026 Order does not address adult-use cannabis, which remains federally illegal under the Controlled Substances Act. Accordingly, any benefits of the April 2026 Order to our business, including potential relief from IRC Section 280E with respect to our medical cannabis operations, may be materially smaller than those realized by competitors with predominantly medical-only operations, while the operational, regulatory, and legal risks associated with the federal illegality of adult-use cannabis remain unchanged.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legal basis for the April 2026 Order is expected to be challenged in litigation. If the April 2026 Order is enjoined, narrowed, or vacated, tax positions or operational decisions we take in reliance on it may be reversed, and we could be required to amend tax filings, recognize additional tax liabilities, or modify our compliance programs.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April 2026 Order creates a federal registration pathway with the DEA for state-licensed medical cannabis operators. The Company is evaluating the implications of this pathway, and there can be no assurance that, if we elect to pursue DEA registration, any such application would be granted, granted on a timely basis, or granted on terms that would allow us to realize the anticipated benefits of the April 2026 Order.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DEA has commenced a separate administrative hearing process to consider the broader rescheduling of all cannabis from Schedule I to Schedule III. The timing and outcome of that process are uncertain, and any resulting rule may be subject to litigation. Until a broader rescheduling rule is final and effective, our adult-use cannabis operations may remain subject to the limitations of IRC Section 280E and the other risks of federal Schedule I status described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sales of unregistered securities during the quarter ended March 31, 2026, and during the period from April 1, 2026 to the filing date of this report, which have not been previously disclosed in a prior Quarterly Report on Form 10-Q or Current Report on Form 8-K.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62"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58</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Securities Trading Plans of Directors and Executive Officers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none of our executive officers or directors adopted or terminated any contract, instruction, or written plan for the purchase or sale of our securities that was intended to satisfy the affirmative defense conditions of Rule 10b5-1(c) or any “non-Rule 10b5-1 trading arrangement” as defined in Item 408(c)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63"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59</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2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(a) EXHIBIT INDEX </w:t>
      </w:r>
    </w:p>
    <w:tbl>
      <w:tblPr>
        <w:tblW w:w="10205" w:type="dxa"/>
        <w:jc w:val="center"/>
        <w:tblInd w:w="0" w:type="dxa"/>
        <w:tblLayout w:type="fixed"/>
        <w:tblCellMar>
          <w:top w:w="28" w:type="dxa"/>
          <w:left w:w="28" w:type="dxa"/>
          <w:bottom w:w="28" w:type="dxa"/>
          <w:right w:w="28" w:type="dxa"/>
        </w:tblCellMar>
      </w:tblPr>
      <w:tblGrid>
        <w:gridCol w:w="259"/>
        <w:gridCol w:w="228"/>
        <w:gridCol w:w="229"/>
        <w:gridCol w:w="109"/>
        <w:gridCol w:w="109"/>
        <w:gridCol w:w="109"/>
        <w:gridCol w:w="1908"/>
        <w:gridCol w:w="1648"/>
        <w:gridCol w:w="1655"/>
        <w:gridCol w:w="109"/>
        <w:gridCol w:w="109"/>
        <w:gridCol w:w="109"/>
        <w:gridCol w:w="175"/>
        <w:gridCol w:w="175"/>
        <w:gridCol w:w="176"/>
        <w:gridCol w:w="109"/>
        <w:gridCol w:w="109"/>
        <w:gridCol w:w="109"/>
        <w:gridCol w:w="237"/>
        <w:gridCol w:w="237"/>
        <w:gridCol w:w="199"/>
        <w:gridCol w:w="109"/>
        <w:gridCol w:w="109"/>
        <w:gridCol w:w="109"/>
        <w:gridCol w:w="225"/>
        <w:gridCol w:w="225"/>
        <w:gridCol w:w="226"/>
        <w:gridCol w:w="109"/>
        <w:gridCol w:w="109"/>
        <w:gridCol w:w="109"/>
        <w:gridCol w:w="300"/>
        <w:gridCol w:w="190"/>
        <w:gridCol w:w="278"/>
      </w:tblGrid>
      <w:tr>
        <w:trPr/>
        <w:tc>
          <w:tcPr>
            <w:tcW w:w="2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r>
      <w:tr>
        <w:trPr/>
        <w:tc>
          <w:tcPr>
            <w:tcW w:w="716"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 Date</w:t>
            </w:r>
          </w:p>
        </w:tc>
      </w:tr>
      <w:tr>
        <w:trPr/>
        <w:tc>
          <w:tcPr>
            <w:tcW w:w="7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23, 2021</w:t>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Bylaws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23, 2021</w:t>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 xml:space="preserve">Specimen Stock Certificate evidencing the shares of common stock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15, 2021</w:t>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8"/>
                  <w:u w:val="single"/>
                </w:rPr>
                <w:t>Form of Registration Rights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23, 2021</w:t>
            </w:r>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8"/>
                  <w:u w:val="single"/>
                </w:rPr>
                <w:t>Form of Warrant Agreement between Ascend Wellness Holdings, Inc. and each of the several lenders, dated June 30,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15, 2022</w:t>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8"/>
                  <w:u w:val="single"/>
                </w:rPr>
                <w:t>Indenture dated July 16, 2024 by and between Ascend Wellness Holdings, Inc. and Odyssey Trust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22, 2024</w:t>
            </w:r>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8"/>
                  <w:u w:val="single"/>
                </w:rPr>
                <w:t>Guaranty dated July 16, 2024 by and between Chicago Alternative Health Center, LLC, HealthCentral, LLC, MOCA LLC, Revolution Cannabis-Barry, LLC, The Homecoming Group, LLC, Ascend Maryland, LLC, Ascend Mass, LLC, MassGrow, LLC, FPAW Michigan LLC, Ascend New Jersey, LLC, BCCO, LLC, Ohio Cannabis Clinic LLC, and Story of PA CR, LLC (collectively, the “Guarantors”)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22, 2024</w:t>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18"/>
                  <w:u w:val="single"/>
                </w:rPr>
                <w:t>Pledge and Security Agreement dated July 16, 2024 by and between Ascend Wellness Holdings, Inc., and Revolution Cannabis-Barry, LLC, Chicago Alternative Health Center, LLC, MOCA LLC, Healthcentral, LLC, The Homecoming Group, LLC, Ascend Mass, LLC, Massgrow, LLC, FPAW Michigan, LLC, BCCO, LLC, Ohio Cannabis Clinic LLC, Ascend New Jersey, LLC, Story Of PA CR, LLC, Ascend Maryland, LLC, Ascend Mass, Inc., Ascend Illinois Holdings, LLC, Ascend Illinois, LLC, Massgrow, Inc., AWH Pennsylvania, LLC, FPAW Michigan 2, Inc., as the initial grantors (collectively, the “Initial Grantors”), and Odyssey Trust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22, 2024</w:t>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18"/>
                  <w:u w:val="single"/>
                </w:rPr>
                <w:t>First Supplemental Indenture dated January 13, 2025 by and between Ascend Wellness Holdings, Inc. and Odyssey Trust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14, 2025</w:t>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80"/>
                  <w:sz w:val="18"/>
                  <w:u w:val="single"/>
                </w:rPr>
                <w:t>Certifica</w:t>
              </w:r>
            </w:hyperlink>
            <w:hyperlink r:id="rId13">
              <w:r>
                <w:rPr>
                  <w:rStyle w:val="InternetLink"/>
                  <w:rFonts w:ascii="Times New Roman;serif" w:hAnsi="Times New Roman;serif"/>
                  <w:b w:val="false"/>
                  <w:color w:val="000080"/>
                  <w:sz w:val="18"/>
                  <w:u w:val="single"/>
                </w:rPr>
                <w:t>te of Retirement of Class B Common Stock of Ascend Well</w:t>
              </w:r>
            </w:hyperlink>
            <w:hyperlink r:id="rId14">
              <w:r>
                <w:rPr>
                  <w:rStyle w:val="InternetLink"/>
                  <w:rFonts w:ascii="Times New Roman;serif" w:hAnsi="Times New Roman;serif"/>
                  <w:b w:val="false"/>
                  <w:color w:val="000080"/>
                  <w:sz w:val="18"/>
                  <w:u w:val="single"/>
                </w:rPr>
                <w:t>ness Holdings</w:t>
              </w:r>
            </w:hyperlink>
            <w:hyperlink r:id="rId15">
              <w:r>
                <w:rPr>
                  <w:rStyle w:val="InternetLink"/>
                  <w:rFonts w:ascii="Times New Roman;serif" w:hAnsi="Times New Roman;serif"/>
                  <w:b w:val="false"/>
                  <w:color w:val="000080"/>
                  <w:sz w:val="18"/>
                  <w:u w:val="single"/>
                </w:rPr>
                <w:t>, Inc.</w:t>
              </w:r>
            </w:hyperlink>
            <w:hyperlink r:id="rId16">
              <w:r>
                <w:rPr>
                  <w:rStyle w:val="InternetLink"/>
                  <w:rFonts w:ascii="Times New Roman;serif" w:hAnsi="Times New Roman;serif"/>
                  <w:b w:val="false"/>
                  <w:color w:val="000080"/>
                  <w:sz w:val="18"/>
                  <w:u w:val="single"/>
                </w:rPr>
                <w:t>, as filed with the Secretary of State of the State of Delaware on Ma</w:t>
              </w:r>
            </w:hyperlink>
            <w:hyperlink r:id="rId17">
              <w:r>
                <w:rPr>
                  <w:rStyle w:val="InternetLink"/>
                  <w:rFonts w:ascii="Times New Roman;serif" w:hAnsi="Times New Roman;serif"/>
                  <w:b w:val="false"/>
                  <w:color w:val="000080"/>
                  <w:sz w:val="18"/>
                  <w:u w:val="single"/>
                </w:rPr>
                <w:t>y 5, 2026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5, 2026</w:t>
            </w:r>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80"/>
                  <w:sz w:val="18"/>
                  <w:u w:val="single"/>
                </w:rPr>
                <w:t>A</w:t>
              </w:r>
            </w:hyperlink>
            <w:hyperlink r:id="rId19">
              <w:r>
                <w:rPr>
                  <w:rStyle w:val="InternetLink"/>
                  <w:rFonts w:ascii="Times New Roman;serif" w:hAnsi="Times New Roman;serif"/>
                  <w:b w:val="false"/>
                  <w:color w:val="000080"/>
                  <w:sz w:val="18"/>
                  <w:u w:val="single"/>
                </w:rPr>
                <w:t>m</w:t>
              </w:r>
            </w:hyperlink>
            <w:hyperlink r:id="rId20">
              <w:r>
                <w:rPr>
                  <w:rStyle w:val="InternetLink"/>
                  <w:rFonts w:ascii="Times New Roman;serif" w:hAnsi="Times New Roman;serif"/>
                  <w:b w:val="false"/>
                  <w:color w:val="000080"/>
                  <w:sz w:val="18"/>
                  <w:u w:val="single"/>
                </w:rPr>
                <w:t xml:space="preserve">endment No. </w:t>
              </w:r>
            </w:hyperlink>
            <w:hyperlink r:id="rId21">
              <w:r>
                <w:rPr>
                  <w:rStyle w:val="InternetLink"/>
                  <w:rFonts w:ascii="Times New Roman;serif" w:hAnsi="Times New Roman;serif"/>
                  <w:b w:val="false"/>
                  <w:color w:val="000080"/>
                  <w:sz w:val="18"/>
                  <w:u w:val="single"/>
                </w:rPr>
                <w:t>1 to the Employment Agreement between Ascend Wellness Holdings, Inc. and Abner Kurtin</w:t>
              </w:r>
            </w:hyperlink>
            <w:hyperlink r:id="rId22">
              <w:r>
                <w:rPr>
                  <w:rStyle w:val="InternetLink"/>
                  <w:rFonts w:ascii="Times New Roman;serif" w:hAnsi="Times New Roman;serif"/>
                  <w:b w:val="false"/>
                  <w:color w:val="000080"/>
                  <w:sz w:val="18"/>
                  <w:u w:val="single"/>
                </w:rPr>
                <w:t>, dated March 10, 2026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12, 2026</w:t>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1-03312026.htm">
              <w:r>
                <w:rPr>
                  <w:rStyle w:val="InternetLink"/>
                  <w:rFonts w:ascii="Times New Roman;serif" w:hAnsi="Times New Roman;serif"/>
                  <w:b w:val="false"/>
                  <w:color w:val="0000FF"/>
                  <w:sz w:val="18"/>
                  <w:u w:val="single"/>
                </w:rPr>
                <w:t>Certification of Periodic Report by Principal Executive Officer under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03312026.htm">
              <w:r>
                <w:rPr>
                  <w:rStyle w:val="InternetLink"/>
                  <w:rFonts w:ascii="Times New Roman;serif" w:hAnsi="Times New Roman;serif"/>
                  <w:b w:val="false"/>
                  <w:color w:val="0000FF"/>
                  <w:sz w:val="18"/>
                  <w:u w:val="single"/>
                </w:rPr>
                <w:t>Certification of Periodic Report by Principal Financial Officer under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03312026.htm">
              <w:r>
                <w:rPr>
                  <w:rStyle w:val="InternetLink"/>
                  <w:rFonts w:ascii="Times New Roman;serif" w:hAnsi="Times New Roman;serif"/>
                  <w:b w:val="false"/>
                  <w:color w:val="0000FF"/>
                  <w:sz w:val="18"/>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64"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60</w:t>
                      </w:r>
                    </w:p>
                  </w:txbxContent>
                </v:textbox>
                <w10:wrap type="none"/>
              </v:rect>
            </w:pict>
          </mc:Fallback>
        </mc:AlternateContent>
      </w:r>
    </w:p>
    <w:p>
      <w:pPr>
        <w:pStyle w:val="TextBody"/>
        <w:bidi w:val="0"/>
        <w:spacing w:before="0" w:after="18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264"/>
        <w:gridCol w:w="205"/>
        <w:gridCol w:w="207"/>
        <w:gridCol w:w="109"/>
        <w:gridCol w:w="109"/>
        <w:gridCol w:w="109"/>
        <w:gridCol w:w="2223"/>
        <w:gridCol w:w="2154"/>
        <w:gridCol w:w="216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6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16"/>
        </w:rPr>
        <w:t>Indicates management contract or compensatory plan, contract, or arrangement.</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16"/>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    Certain schedules and exhibits have been omitted in compliance with Regulation S-K Item 601(a)(5) or certain personal information has been redacted from this exhibit pursuant to Item 601(a)(6) of Regulation S-K. The Company agrees to furnish a copy of any omitted schedule or exhibit to the SEC upon its request.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5"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61</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346" w:type="dxa"/>
        <w:jc w:val="left"/>
        <w:tblInd w:w="0" w:type="dxa"/>
        <w:tblLayout w:type="fixed"/>
        <w:tblCellMar>
          <w:top w:w="28" w:type="dxa"/>
          <w:left w:w="28" w:type="dxa"/>
          <w:bottom w:w="28" w:type="dxa"/>
          <w:right w:w="28" w:type="dxa"/>
        </w:tblCellMar>
      </w:tblPr>
      <w:tblGrid>
        <w:gridCol w:w="456"/>
        <w:gridCol w:w="400"/>
        <w:gridCol w:w="403"/>
        <w:gridCol w:w="109"/>
        <w:gridCol w:w="109"/>
        <w:gridCol w:w="109"/>
        <w:gridCol w:w="807"/>
        <w:gridCol w:w="807"/>
        <w:gridCol w:w="1146"/>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Ascend Wellness Holdings, Inc.</w:t>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May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Samuel Brill</w:t>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Samuel Brill</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tbl>
      <w:tblPr>
        <w:tblW w:w="4001" w:type="dxa"/>
        <w:jc w:val="left"/>
        <w:tblInd w:w="0" w:type="dxa"/>
        <w:tblLayout w:type="fixed"/>
        <w:tblCellMar>
          <w:top w:w="28" w:type="dxa"/>
          <w:left w:w="28" w:type="dxa"/>
          <w:bottom w:w="28" w:type="dxa"/>
          <w:right w:w="28" w:type="dxa"/>
        </w:tblCellMar>
      </w:tblPr>
      <w:tblGrid>
        <w:gridCol w:w="456"/>
        <w:gridCol w:w="400"/>
        <w:gridCol w:w="403"/>
        <w:gridCol w:w="109"/>
        <w:gridCol w:w="109"/>
        <w:gridCol w:w="109"/>
        <w:gridCol w:w="706"/>
        <w:gridCol w:w="706"/>
        <w:gridCol w:w="1003"/>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May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Roman Nemchenko</w:t>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Roman Nemchenko</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1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66"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SECURITIES EXCHANGE ACT OF 1934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RULE 13a-14(a) OR 15d-14(a)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Samuel Brill, certify that: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Ascend Wellness Holdings,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rPr/>
      </w:pPr>
      <w:r>
        <w:rPr/>
      </w:r>
    </w:p>
    <w:tbl>
      <w:tblPr>
        <w:tblW w:w="4388" w:type="dxa"/>
        <w:jc w:val="left"/>
        <w:tblInd w:w="0" w:type="dxa"/>
        <w:tblLayout w:type="fixed"/>
        <w:tblCellMar>
          <w:top w:w="28" w:type="dxa"/>
          <w:left w:w="28" w:type="dxa"/>
          <w:bottom w:w="28" w:type="dxa"/>
          <w:right w:w="28" w:type="dxa"/>
        </w:tblCellMar>
      </w:tblPr>
      <w:tblGrid>
        <w:gridCol w:w="455"/>
        <w:gridCol w:w="401"/>
        <w:gridCol w:w="404"/>
        <w:gridCol w:w="109"/>
        <w:gridCol w:w="109"/>
        <w:gridCol w:w="109"/>
        <w:gridCol w:w="808"/>
        <w:gridCol w:w="808"/>
        <w:gridCol w:w="813"/>
        <w:gridCol w:w="109"/>
        <w:gridCol w:w="109"/>
        <w:gridCol w:w="154"/>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Samuel Brill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Samuel Brill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SECURITIES EXCHANGE ACT OF 1934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RULE 13a-14(a) OR 15d-14(a)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Roman Nemchenko, certify that: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Ascend Wellness Holdings,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4328" w:type="dxa"/>
        <w:jc w:val="left"/>
        <w:tblInd w:w="0" w:type="dxa"/>
        <w:tblLayout w:type="fixed"/>
        <w:tblCellMar>
          <w:top w:w="28" w:type="dxa"/>
          <w:left w:w="28" w:type="dxa"/>
          <w:bottom w:w="28" w:type="dxa"/>
          <w:right w:w="28" w:type="dxa"/>
        </w:tblCellMar>
      </w:tblPr>
      <w:tblGrid>
        <w:gridCol w:w="455"/>
        <w:gridCol w:w="401"/>
        <w:gridCol w:w="404"/>
        <w:gridCol w:w="109"/>
        <w:gridCol w:w="109"/>
        <w:gridCol w:w="109"/>
        <w:gridCol w:w="789"/>
        <w:gridCol w:w="789"/>
        <w:gridCol w:w="791"/>
        <w:gridCol w:w="109"/>
        <w:gridCol w:w="109"/>
        <w:gridCol w:w="154"/>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Roman Nemchenko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Roman Nemchenko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PURSUANT TO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13a-14(b) OR 15d-14(b) 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Ascend Wellness Holdings, Inc. (the “Company”) for the quarter ended March 31, 2026, as filed with the Securities and Exchange Commission on the date hereof (the “Report”), Samuel Brill, Chief Executive Officer of the Company, and Roman Nemchenko, Chief Financial Officer of the Company, each certifies for the purpose of complying with Rule 13a-14(b) or Rule 15d-14(b) of the Securities Exchange Act of 1934, as amended (the “Exchange Act”), and Section 1350 of Chapter 63 of Title 18 of the United States Code, that: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Exchange Act;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180"/>
        <w:jc w:val="left"/>
        <w:rPr/>
      </w:pPr>
      <w:r>
        <w:rPr/>
      </w:r>
    </w:p>
    <w:p>
      <w:pPr>
        <w:pStyle w:val="TextBody"/>
        <w:bidi w:val="0"/>
        <w:spacing w:before="0" w:after="180"/>
        <w:jc w:val="left"/>
        <w:rPr/>
      </w:pPr>
      <w:r>
        <w:rPr/>
      </w:r>
    </w:p>
    <w:tbl>
      <w:tblPr>
        <w:tblW w:w="4388" w:type="dxa"/>
        <w:jc w:val="left"/>
        <w:tblInd w:w="0" w:type="dxa"/>
        <w:tblLayout w:type="fixed"/>
        <w:tblCellMar>
          <w:top w:w="28" w:type="dxa"/>
          <w:left w:w="28" w:type="dxa"/>
          <w:bottom w:w="28" w:type="dxa"/>
          <w:right w:w="28" w:type="dxa"/>
        </w:tblCellMar>
      </w:tblPr>
      <w:tblGrid>
        <w:gridCol w:w="455"/>
        <w:gridCol w:w="401"/>
        <w:gridCol w:w="404"/>
        <w:gridCol w:w="109"/>
        <w:gridCol w:w="109"/>
        <w:gridCol w:w="109"/>
        <w:gridCol w:w="808"/>
        <w:gridCol w:w="808"/>
        <w:gridCol w:w="813"/>
        <w:gridCol w:w="109"/>
        <w:gridCol w:w="109"/>
        <w:gridCol w:w="154"/>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Samuel Brill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Samuel Brill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328" w:type="dxa"/>
        <w:jc w:val="left"/>
        <w:tblInd w:w="0" w:type="dxa"/>
        <w:tblLayout w:type="fixed"/>
        <w:tblCellMar>
          <w:top w:w="28" w:type="dxa"/>
          <w:left w:w="28" w:type="dxa"/>
          <w:bottom w:w="28" w:type="dxa"/>
          <w:right w:w="28" w:type="dxa"/>
        </w:tblCellMar>
      </w:tblPr>
      <w:tblGrid>
        <w:gridCol w:w="455"/>
        <w:gridCol w:w="401"/>
        <w:gridCol w:w="404"/>
        <w:gridCol w:w="109"/>
        <w:gridCol w:w="109"/>
        <w:gridCol w:w="109"/>
        <w:gridCol w:w="789"/>
        <w:gridCol w:w="789"/>
        <w:gridCol w:w="791"/>
        <w:gridCol w:w="109"/>
        <w:gridCol w:w="109"/>
        <w:gridCol w:w="154"/>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Roman Nemchenko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Roman Nemchenko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8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56390/000162828021007411/exhibit34-sx1a2.htm" TargetMode="External"/><Relationship Id="rId4" Type="http://schemas.openxmlformats.org/officeDocument/2006/relationships/hyperlink" Target="https://www.sec.gov/Archives/edgar/data/1756390/000162828021007411/exhibit35-sx1a2.htm" TargetMode="External"/><Relationship Id="rId5" Type="http://schemas.openxmlformats.org/officeDocument/2006/relationships/hyperlink" Target="https://www.sec.gov/Archives/edgar/data/1756390/000162828021006948/exhibit41-sx1a1.htm" TargetMode="External"/><Relationship Id="rId6" Type="http://schemas.openxmlformats.org/officeDocument/2006/relationships/hyperlink" Target="https://www.sec.gov/Archives/edgar/data/1756390/000162828021007411/exhibit42-sx1a2.htm" TargetMode="External"/><Relationship Id="rId7" Type="http://schemas.openxmlformats.org/officeDocument/2006/relationships/hyperlink" Target="https://www.sec.gov/Archives/edgar/data/1756390/000162828022022910/formofwarrantagreement.htm" TargetMode="External"/><Relationship Id="rId8" Type="http://schemas.openxmlformats.org/officeDocument/2006/relationships/hyperlink" Target="https://www.sec.gov/Archives/edgar/data/1756390/000162828024032485/awh-2024notesindentureex41.htm" TargetMode="External"/><Relationship Id="rId9" Type="http://schemas.openxmlformats.org/officeDocument/2006/relationships/hyperlink" Target="https://www.sec.gov/Archives/edgar/data/1756390/000162828024032485/ascend-guarantyex42toform8.htm" TargetMode="External"/><Relationship Id="rId10" Type="http://schemas.openxmlformats.org/officeDocument/2006/relationships/hyperlink" Target="https://www.sec.gov/Archives/edgar/data/1756390/000162828024032485/ascend-pledgeandsecurityag.htm" TargetMode="External"/><Relationship Id="rId11" Type="http://schemas.openxmlformats.org/officeDocument/2006/relationships/hyperlink" Target="https://www.sec.gov/Archives/edgar/data/1756390/000162828025001438/ex41firstsupplementalinden.htm" TargetMode="External"/><Relationship Id="rId12" Type="http://schemas.openxmlformats.org/officeDocument/2006/relationships/hyperlink" Target="https://www.sec.gov/Archives/edgar/data/1756390/000162828026030618/ex31certificateofretirement.htm" TargetMode="External"/><Relationship Id="rId13" Type="http://schemas.openxmlformats.org/officeDocument/2006/relationships/hyperlink" Target="https://www.sec.gov/Archives/edgar/data/1756390/000162828026030618/ex31certificateofretirement.htm" TargetMode="External"/><Relationship Id="rId14" Type="http://schemas.openxmlformats.org/officeDocument/2006/relationships/hyperlink" Target="https://www.sec.gov/Archives/edgar/data/1756390/000162828026030618/ex31certificateofretirement.htm" TargetMode="External"/><Relationship Id="rId15" Type="http://schemas.openxmlformats.org/officeDocument/2006/relationships/hyperlink" Target="https://www.sec.gov/Archives/edgar/data/1756390/000162828026030618/ex31certificateofretirement.htm" TargetMode="External"/><Relationship Id="rId16" Type="http://schemas.openxmlformats.org/officeDocument/2006/relationships/hyperlink" Target="https://www.sec.gov/Archives/edgar/data/1756390/000162828026030618/ex31certificateofretirement.htm" TargetMode="External"/><Relationship Id="rId17" Type="http://schemas.openxmlformats.org/officeDocument/2006/relationships/hyperlink" Target="https://www.sec.gov/Archives/edgar/data/1756390/000162828026030618/ex31certificateofretirement.htm" TargetMode="External"/><Relationship Id="rId18" Type="http://schemas.openxmlformats.org/officeDocument/2006/relationships/hyperlink" Target="https://www.sec.gov/Archives/edgar/data/1756390/000162828026017374/exhibit1014amendmentno1tot.htm" TargetMode="External"/><Relationship Id="rId19" Type="http://schemas.openxmlformats.org/officeDocument/2006/relationships/hyperlink" Target="https://www.sec.gov/Archives/edgar/data/1756390/000162828026017374/exhibit1014amendmentno1tot.htm" TargetMode="External"/><Relationship Id="rId20" Type="http://schemas.openxmlformats.org/officeDocument/2006/relationships/hyperlink" Target="https://www.sec.gov/Archives/edgar/data/1756390/000162828026017374/exhibit1014amendmentno1tot.htm" TargetMode="External"/><Relationship Id="rId21" Type="http://schemas.openxmlformats.org/officeDocument/2006/relationships/hyperlink" Target="https://www.sec.gov/Archives/edgar/data/1756390/000162828026017374/exhibit1014amendmentno1tot.htm" TargetMode="External"/><Relationship Id="rId22" Type="http://schemas.openxmlformats.org/officeDocument/2006/relationships/hyperlink" Target="https://www.sec.gov/Archives/edgar/data/1756390/000162828026017374/exhibit1014amendmentno1tot.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31229</Words>
  <Characters>175364</Characters>
  <CharactersWithSpaces>205222</CharactersWithSpaces>
  <Paragraphs>2245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