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3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3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4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 to______</w:t>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6"/>
          <w:szCs w:val="36"/>
          <w:b w:val="1"/>
          <w:bCs w:val="1"/>
          <w:color w:val="auto"/>
        </w:rPr>
        <w:t>ASCEND WELLNESS HOLDINGS, INC.</w:t>
      </w:r>
    </w:p>
    <w:p>
      <w:pPr>
        <w:spacing w:after="0" w:line="5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440" w:type="dxa"/>
        <w:tblCellMar>
          <w:top w:w="0" w:type="dxa"/>
          <w:left w:w="0" w:type="dxa"/>
          <w:bottom w:w="0" w:type="dxa"/>
          <w:right w:w="0" w:type="dxa"/>
        </w:tblCellMar>
      </w:tblPr>
      <w:tr>
        <w:trPr>
          <w:trHeight w:val="238"/>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8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83-0602006</w:t>
            </w:r>
          </w:p>
        </w:tc>
      </w:tr>
      <w:tr>
        <w:trPr>
          <w:trHeight w:val="468"/>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540"/>
        </w:trPr>
        <w:tc>
          <w:tcPr>
            <w:tcW w:w="2720" w:type="dxa"/>
            <w:vAlign w:val="bottom"/>
          </w:tcPr>
          <w:p>
            <w:pPr>
              <w:spacing w:after="0"/>
              <w:rPr>
                <w:sz w:val="24"/>
                <w:szCs w:val="24"/>
                <w:color w:val="auto"/>
              </w:rPr>
            </w:pPr>
          </w:p>
        </w:tc>
        <w:tc>
          <w:tcPr>
            <w:tcW w:w="7880" w:type="dxa"/>
            <w:vAlign w:val="bottom"/>
            <w:gridSpan w:val="3"/>
          </w:tcPr>
          <w:p>
            <w:pPr>
              <w:jc w:val="center"/>
              <w:ind w:right="2850"/>
              <w:spacing w:after="0"/>
              <w:rPr>
                <w:sz w:val="20"/>
                <w:szCs w:val="20"/>
                <w:color w:val="auto"/>
              </w:rPr>
            </w:pPr>
            <w:r>
              <w:rPr>
                <w:rFonts w:ascii="Times New Roman" w:cs="Times New Roman" w:eastAsia="Times New Roman" w:hAnsi="Times New Roman"/>
                <w:sz w:val="18"/>
                <w:szCs w:val="18"/>
                <w:color w:val="auto"/>
                <w:w w:val="99"/>
              </w:rPr>
              <w:t>__________________________</w:t>
            </w:r>
          </w:p>
        </w:tc>
      </w:tr>
      <w:tr>
        <w:trPr>
          <w:trHeight w:val="248"/>
        </w:trPr>
        <w:tc>
          <w:tcPr>
            <w:tcW w:w="27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980" w:type="dxa"/>
            <w:vAlign w:val="bottom"/>
            <w:gridSpan w:val="2"/>
          </w:tcPr>
          <w:p>
            <w:pPr>
              <w:jc w:val="center"/>
              <w:ind w:right="4750"/>
              <w:spacing w:after="0"/>
              <w:rPr>
                <w:sz w:val="20"/>
                <w:szCs w:val="20"/>
                <w:color w:val="auto"/>
              </w:rPr>
            </w:pPr>
            <w:r>
              <w:rPr>
                <w:rFonts w:ascii="Times New Roman" w:cs="Times New Roman" w:eastAsia="Times New Roman" w:hAnsi="Times New Roman"/>
                <w:sz w:val="18"/>
                <w:szCs w:val="18"/>
                <w:b w:val="1"/>
                <w:bCs w:val="1"/>
                <w:color w:val="auto"/>
              </w:rPr>
              <w:t>174 NJ-17</w:t>
            </w:r>
          </w:p>
        </w:tc>
      </w:tr>
      <w:tr>
        <w:trPr>
          <w:trHeight w:val="220"/>
        </w:trPr>
        <w:tc>
          <w:tcPr>
            <w:tcW w:w="2720" w:type="dxa"/>
            <w:vAlign w:val="bottom"/>
          </w:tcPr>
          <w:p>
            <w:pPr>
              <w:spacing w:after="0"/>
              <w:rPr>
                <w:sz w:val="19"/>
                <w:szCs w:val="19"/>
                <w:color w:val="auto"/>
              </w:rPr>
            </w:pPr>
          </w:p>
        </w:tc>
        <w:tc>
          <w:tcPr>
            <w:tcW w:w="7880" w:type="dxa"/>
            <w:vAlign w:val="bottom"/>
            <w:gridSpan w:val="3"/>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w w:val="99"/>
              </w:rPr>
              <w:t>Rochelle Park, NJ 07662</w:t>
            </w:r>
          </w:p>
        </w:tc>
      </w:tr>
      <w:tr>
        <w:trPr>
          <w:trHeight w:val="234"/>
        </w:trPr>
        <w:tc>
          <w:tcPr>
            <w:tcW w:w="2720" w:type="dxa"/>
            <w:vAlign w:val="bottom"/>
          </w:tcPr>
          <w:p>
            <w:pPr>
              <w:spacing w:after="0"/>
              <w:rPr>
                <w:sz w:val="20"/>
                <w:szCs w:val="20"/>
                <w:color w:val="auto"/>
              </w:rPr>
            </w:pPr>
          </w:p>
        </w:tc>
        <w:tc>
          <w:tcPr>
            <w:tcW w:w="7880" w:type="dxa"/>
            <w:vAlign w:val="bottom"/>
            <w:gridSpan w:val="3"/>
          </w:tcPr>
          <w:p>
            <w:pPr>
              <w:jc w:val="center"/>
              <w:ind w:right="285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365"/>
        </w:trPr>
        <w:tc>
          <w:tcPr>
            <w:tcW w:w="2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4860" w:type="dxa"/>
            <w:vAlign w:val="bottom"/>
          </w:tcPr>
          <w:p>
            <w:pPr>
              <w:spacing w:after="0"/>
              <w:rPr>
                <w:sz w:val="24"/>
                <w:szCs w:val="24"/>
                <w:color w:val="auto"/>
              </w:rPr>
            </w:pPr>
          </w:p>
        </w:tc>
      </w:tr>
      <w:tr>
        <w:trPr>
          <w:trHeight w:val="218"/>
        </w:trPr>
        <w:tc>
          <w:tcPr>
            <w:tcW w:w="2720" w:type="dxa"/>
            <w:vAlign w:val="bottom"/>
          </w:tcPr>
          <w:p>
            <w:pPr>
              <w:spacing w:after="0"/>
              <w:rPr>
                <w:sz w:val="18"/>
                <w:szCs w:val="18"/>
                <w:color w:val="auto"/>
              </w:rPr>
            </w:pPr>
          </w:p>
        </w:tc>
        <w:tc>
          <w:tcPr>
            <w:tcW w:w="7880" w:type="dxa"/>
            <w:vAlign w:val="bottom"/>
            <w:gridSpan w:val="3"/>
          </w:tcPr>
          <w:p>
            <w:pPr>
              <w:jc w:val="center"/>
              <w:ind w:right="28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34"/>
        </w:trPr>
        <w:tc>
          <w:tcPr>
            <w:tcW w:w="2720" w:type="dxa"/>
            <w:vAlign w:val="bottom"/>
          </w:tcPr>
          <w:p>
            <w:pPr>
              <w:spacing w:after="0"/>
              <w:rPr>
                <w:sz w:val="20"/>
                <w:szCs w:val="20"/>
                <w:color w:val="auto"/>
              </w:rPr>
            </w:pPr>
          </w:p>
        </w:tc>
        <w:tc>
          <w:tcPr>
            <w:tcW w:w="7880" w:type="dxa"/>
            <w:vAlign w:val="bottom"/>
            <w:gridSpan w:val="3"/>
          </w:tcPr>
          <w:p>
            <w:pPr>
              <w:jc w:val="center"/>
              <w:ind w:right="2850"/>
              <w:spacing w:after="0"/>
              <w:rPr>
                <w:sz w:val="20"/>
                <w:szCs w:val="20"/>
                <w:color w:val="auto"/>
              </w:rPr>
            </w:pPr>
            <w:r>
              <w:rPr>
                <w:rFonts w:ascii="Times New Roman" w:cs="Times New Roman" w:eastAsia="Times New Roman" w:hAnsi="Times New Roman"/>
                <w:sz w:val="18"/>
                <w:szCs w:val="18"/>
                <w:color w:val="auto"/>
                <w:w w:val="99"/>
              </w:rPr>
              <w:t>__________________________</w:t>
            </w:r>
          </w:p>
        </w:tc>
      </w:tr>
    </w:tbl>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line="99" w:lineRule="exact"/>
        <w:rPr>
          <w:sz w:val="20"/>
          <w:szCs w:val="20"/>
          <w:color w:val="auto"/>
        </w:rPr>
      </w:pPr>
    </w:p>
    <w:p>
      <w:pPr>
        <w:ind w:right="1600"/>
        <w:spacing w:after="0" w:line="31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0"/>
          <w:szCs w:val="20"/>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99" w:lineRule="exact"/>
        <w:rPr>
          <w:sz w:val="20"/>
          <w:szCs w:val="20"/>
          <w:color w:val="auto"/>
        </w:rPr>
      </w:pPr>
    </w:p>
    <w:p>
      <w:pPr>
        <w:jc w:val="both"/>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Aggregate market value of the registrant’s common stock held by non-affiliates of the registrant, based upon the closing price of a share of the registrant’s Class A common stock on June 30, 2025 as reported on the Canadian Stock Exchange on that date: $54,771,398</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March 10, 2026, there were 202,200,918 shares of the registrant’s Class A common stock, par value $0.001, and 65,000 shares of the registrant’s Class B common stock, par value $0.001, outstanding.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Certain parts of the registrant’s Definitive Proxy Statement relating to the registrant’s 2026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1069975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60" w:type="dxa"/>
            <w:vAlign w:val="bottom"/>
            <w:vMerge w:val="continue"/>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 Business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 Cybersecurity</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 Properties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Legal Proceedings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 Reserved</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 Form 10-K Summary</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10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for Ascend Wellness Holdings, Inc. and its subsidiaries (collectively referred to as “AWH,” “Ascend,” “we,” “us,” “our,” or the “Company”) contains forward-looking statements, within the meaning of the Private Securities Litigation Reform Act of 1995, and forward-looking information within the meaning of applicable Canadian securities laws (collectively, “forward-looking statements”). Forward-looking statements are statements other than statements of historical fact and reflect our current expectations regarding future events and operating performance. These forward-looking statements are based on management’s current expectations, estimates, projections, beliefs, and assumptions, which are inherently subject to change.</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forward-looking statements related to future expectations, estimates, and projections that are uncertain and often contain words such as, but not limited to, “anticipate,” “believe,” “could,” “estimate,” “expect,” “forecast,” “intend,” “may,” “plan,” “potential,” “project,” “should,” “target,” “will,” “would” or other similar words or phrases. Such forward-looking statements are made as of the date of this Form 10-K.</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Forward-looking statements appear in many places in this Form 10-K, including under “Business,” “Risk Factors,” and “Management’s Discussion and Analysis of Financial Condition and Results of Operations.” For example, statements regarding the potential future impact of macroeconomic conditions or regulatory developments on the Company’s business or results of operations are forward-looking statements. Forward-looking statements may also relate to, among other things, regulatory developments (including changes in federal and state cannabis laws, regulations, enforcement priorities, or regulatory interpretations), market conditions, liquidity and capital resources, expansion plans, licensing matters, competitive dynamics, tax matters (including the application of Section 280E of the Internal Revenue Code), and other aspects of our business and operations. Forward-looking statements are not guarantees of future performance and are subject to known and unknown risks, uncertainties, and assumptions that could cause actual results to differ materially from those expressed or implied by such statements. Important factors that could cause actual results to differ materially include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Part II,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and elsewhere in this Form 10-K and our other filings with the United States Securities and Exchange Commission (the “SEC”)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Canadian securities regulatory authorities. Readers are cautioned not to place undue reliance on forward-looking statements.</w:t>
      </w:r>
    </w:p>
    <w:p>
      <w:pPr>
        <w:spacing w:after="0" w:line="1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Except as required by law, the Company undertakes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Ascend Wellness Holdings, Inc. is a vertically integrated multi-state cannabis operator focused on operating in adult-use or near-term adult-use states in primarily limited license markets. Ascend’s core business is the cultivation, manufacturing, and distribution of cannabis consumer packaged goods, which are sold through company-owned retail stores, to retail partner locations, and third-party licensed retail locations. The Company is a reporting issuer in the United States and in each of the provinces and territories of Canada. The Company’s shares of Class A common stock are listed in Canada on the Canadian Securities Exchange (“CSE”) under the symbol “AAWH.U” and in the United States on the OTCQX Best Market (the “OTCQX”) under the symbol “AAWH.” Ascend is an emerging growth company under federal securities laws and as such Ascend is able to elect to follow scaled disclosure requirements for this filing.</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was founded in 2018 with initial operations in Illinois and has since expanded its operational footprint, primarily through acquisitions, and now has operations or financial interests in seven U.S. geographic markets: Illinois, Maryland, Massachusetts, Michigan, New Jersey, Ohio, and Pennsylvania. Additionally, the Company has contractual relationships with certain third-party license holders, which we refer to as our “retail partner locations.” During 2024, the Company opened four dispensaries and began providing support to two retail partner locations. During 2025, the Company re-opened its Detroit, Michigan dispensary and began providing support to seven additional retail partner locations, for a total of 47 open dispensaries across our portfolio as of December 31, 2025. Of this total, 42 of our dispensaries are in states that have passed legislation permitting adult-use cannabis.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fully-financed expansion plans to achieve a total target of 60 total retail locations, including retail partner locations, in the medium-term. The Company is pursuing opportunities to partner with additional social equity license holders to expand the Company’s presence in various states. Ascend operates cultivation facilities in six states with approximately 258,000 square feet of total canopy.</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Ascend believes in bettering lives through cannabis. Our mission is to improve the lives of its customers, employees, and the communities we serve through the use of the cannabis plant. As of March 1, 2026, the Company employed approximately 2,300 people across the cultivation, processing, retail, and corporate functions, excluding employees of retail partner locations.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list of our significant subsidiaries is set forth in Exhibit 21.1 to this Annual Report on Form 10-K. Unless otherwise indicated, we own 100% of the outstanding equity interests of each such subsidiary. Our organizational structure is complex and reflects state-specific licensing requirements that generally require cannabis operations to be conducted through separate legal entities in each jurisdiction.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headquarters are located at 174 NJ-17, Rochelle Park, NJ, 07662.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Founding and Incorporation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periods to that date that may be referenced in this filing and is referred to as the “Conversion.” As a result of the Conversion, the members of Ascend Wellness Holdings, LLC became holders of shares of stock of Ascend Wellness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Conversion, the Company has authorized 750,000,000 shares of Class A common stock with a par value of $0.001 per share, 100,000 shares of Class B common stock with a par value of $0.001 per share, and 10,000,000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The shares of Class B common stock will automatically convert into shares of Class A common stock on a one-for-one basis on May 4, 2026, the five-year anniversary of our initial public offering, and at such time, there will be no shares of Class B common stock outstanding, and all shares of common stock will have an equal vote.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4, 2021, the Company completed an Initial Public Offering (“IPO”) of its Class A common stock, in which it issued and sold 10.0 million shares of Class A common stock at a price of $8.00 per share. On May 7, 2021, the underwriters exercised their over-allotment option in full, and the Company issued and sold an additional 1.5 million shares of Class A common stock. AWH received total net proceeds of approximately $86.1 million after deducting underwriting discounts and commissions and certain other direct offering expenses paid by the Company. In connection with the IPO, the historical common units and preferred units then-outstanding automatically converted into a total of 113.3 million shares of Class A common stock and 65 thousand historical common units were allocated as shares of Class B common stock. Additionally, 3.4 million shares of Class A common stock were issued for a beneficial conversion feature associated with the conversion of certain historical preferred units and the Company’s then-outstanding convertible notes, plus accrued interest, converted into 37.4 million shares of Class A common stock. The Company’s shares of Class A common stock are listed on the CSE under the ticker symbol “AAWH.U” and are quoted on the OTCQX Best Market under the symbol “AAWH.”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Securities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approximately 206.5 million diluted shares outstanding, which includes approximately 202.2 million shares of Class A common stock, approximately 0.1 million shares of Class B common stock, and approximately 2.4 million total unvested restricted stock awards and restricted stock units. This total also includes approximately 1.8 million warrants outstanding, none of which are in the money based on the closing stock price of the shares of Class A common stock on the CSE on December 31, 2025 of $0.75 per share. In addition to these securities outstanding, there are options outstanding to acquire a total of approximately 12.4 million shares of our Class A common stock, of which approximately 4.9 million are exercisable as of December 31, 2025 with a weighted-average exercise price of $1.21.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Historically, Ascend used private financing as a source of liquidity for its short-term working capital needs and general corporate purposes. In addition to capital raised through the IPO, described above, in August 2021, the Company entered into a credit facility under which we initially borrowed $210.0 million through term loans (the “2021 Credit Agreement”), which proceeds were used, in part, to prepay approximately $75.6 million of existing debt and the remainder was used primarily to finance growth initiatives and acquisitions. During the second quarter of 2022, the Company borrowed an additional $65.0 million of term loans under the expansion feature of the credit facility (the “2022 Loans” and, together with the 2021 Credit Agreement, the “2021 Credit Facility”) for total borrowings thereunder of $275.0 million. In July 2024, the Company issued $235.0 million in aggregate principal of senior secured notes due July 16, 2029 (the “July 2024 Term Notes”) through a private placement (the “2024 Notes Offering”) pursuant to an indenture agreement (the “July 2024 Loan Agreement”). The Company utilized the proceeds from the 2024 Notes Offering, along with cash on hand, to prepay $215.0 million of borrowings outstanding under the 2021 Credit Facility. In January 2025, the Company issued an additional $15.0 million of term notes under the July 2024 Loan Agreement for general corporate purposes, including to fund growth initiatives, and in May 2025 we issued an additional $50.0 million, in aggregate principal, of term loans, which proceeds were utilized, along with cash on hand, to prepay the remaining $60.0 million then-outstanding under the 2021 Credit Facility. For additional information regarding the Company’s debt transactions, refer to Note 11, “Debt,” to the notes to the consolidated financial statements contained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the Company has funded many of its cultivation expansion projects via sale leaseback transactions. Through these transactions, the Company received proceeds from the sale of the underlying property and, generally, received a tenant improvement allowance (“TIA”) as part of the underlying lease agreement which is used to fund the expansion of the respective facilities. The Company’s recent significant sale leaseback transactions are further described below:</w:t>
      </w:r>
    </w:p>
    <w:p>
      <w:pPr>
        <w:spacing w:after="0" w:line="126"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AWH acquired the real property where its Franklin, New Jersey cultivation facility is located. In February 2022, AWH executed a sale leaseback agreement with IIP with a sale price of $35.4 million and a TIA of $4.6 million to fund the expansion of the facility. The TIA has subsequently increased to $19.6 million as we have expanded the cultivation facility.</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sold and leased back the real property where the Smithfield, Pennsylvania cultivation facility is located for total proceeds of $15.0 million.</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19, 2025, the Company filed a registration statement on Form S-3 (the “Registration Statement”) containing a base shelf prospectus with the SEC (the “Shelf Prospectus”), which Registration Statement became effective on January 22, 2026. A corresponding base shelf prospectus (the “Canadian Prospectus”) was filed with, and receipted by, the securities regulatory authorities in each of the provinces and territories Canada under the U.S.-Canada multijurisdictional disclosure system (“MJDS”). The Registration Statement and Canadian Prospectus register and qualify the offer and sale of up to an aggregate of $100 million of shares of Class A common stock, preferred stock, warrants, debt securities, subscription rights and/or units of the Company (“Securities”) for a period of three years. The terms of any Securities to be offered under the Shelf Prospectus and Canadian Prospectus will be specified in a prospectus supplement, which will be filed with the applicable U.S. and Canadian securities regulatory authorities in connection with any such offering. To date, no prospectus supplement has been filed. The Shelf Prospectus and the Canadian Prospectus were filed to provide additional flexibility to pursue strategic initiatives.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grown rapidly by strategically acquiring licenses and operations. Ascend’s core acquisition philosophy has been to acquire assets in: marquee locations, limited-license states, and adult-use or near-adult-use markets. Growth via acquisition has allowed Ascend to strategically select and to operate primarily in highly competitive market dynamics. The Company’s key transactions, excluding transactions with retail partner locations, are detailed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Seller</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r>
      <w:tr>
        <w:trPr>
          <w:trHeight w:val="169"/>
        </w:trPr>
        <w:tc>
          <w:tcPr>
            <w:tcW w:w="16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MOCA LLC</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 Dispensaries</w:t>
            </w:r>
          </w:p>
        </w:tc>
        <w:tc>
          <w:tcPr>
            <w:tcW w:w="8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-Chicago, IL (Logan</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Signed in August 2020</w:t>
            </w:r>
          </w:p>
        </w:tc>
        <w:tc>
          <w:tcPr>
            <w:tcW w:w="10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This acquisition was the Company’s first entry into the</w:t>
            </w:r>
          </w:p>
        </w:tc>
      </w:tr>
      <w:tr>
        <w:trPr>
          <w:trHeight w:val="184"/>
        </w:trPr>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Square and River North)</w:t>
            </w:r>
          </w:p>
        </w:tc>
        <w:tc>
          <w:tcPr>
            <w:tcW w:w="18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closed in</w:t>
            </w:r>
          </w:p>
        </w:tc>
        <w:tc>
          <w:tcPr>
            <w:tcW w:w="4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Chicago market and was included in our consolidated</w:t>
            </w:r>
          </w:p>
        </w:tc>
      </w:tr>
      <w:tr>
        <w:trPr>
          <w:trHeight w:val="180"/>
        </w:trPr>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2020</w:t>
            </w:r>
          </w:p>
        </w:tc>
        <w:tc>
          <w:tcPr>
            <w:tcW w:w="4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results as a variable interest entity (“VIE”) from</w:t>
            </w:r>
          </w:p>
        </w:tc>
      </w:tr>
      <w:tr>
        <w:trPr>
          <w:trHeight w:val="229"/>
        </w:trPr>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2020 through closing in December 2020.</w:t>
            </w:r>
          </w:p>
        </w:tc>
      </w:tr>
      <w:tr>
        <w:trPr>
          <w:trHeight w:val="176"/>
        </w:trPr>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Southcoast</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-New Bedford, MA</w:t>
            </w:r>
          </w:p>
        </w:tc>
        <w:tc>
          <w:tcPr>
            <w:tcW w:w="1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Initial transaction</w:t>
            </w:r>
          </w:p>
        </w:tc>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New Bedford adult-use dispensary opened in</w:t>
            </w:r>
          </w:p>
        </w:tc>
      </w:tr>
      <w:tr>
        <w:trPr>
          <w:trHeight w:val="184"/>
        </w:trPr>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Apothecary, LLC</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closed in February</w:t>
            </w:r>
          </w:p>
        </w:tc>
        <w:tc>
          <w:tcPr>
            <w:tcW w:w="4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2023 and was our first expansion into</w:t>
            </w:r>
          </w:p>
        </w:tc>
      </w:tr>
      <w:tr>
        <w:trPr>
          <w:trHeight w:val="180"/>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2020 and property</w:t>
            </w:r>
          </w:p>
        </w:tc>
        <w:tc>
          <w:tcPr>
            <w:tcW w:w="4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Southern Massachusetts.</w:t>
            </w:r>
          </w:p>
        </w:tc>
      </w:t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closed in</w:t>
            </w:r>
          </w:p>
        </w:tc>
        <w:tc>
          <w:tcPr>
            <w:tcW w:w="4000" w:type="dxa"/>
            <w:vAlign w:val="bottom"/>
          </w:tcPr>
          <w:p>
            <w:pPr>
              <w:spacing w:after="0"/>
              <w:rPr>
                <w:sz w:val="15"/>
                <w:szCs w:val="15"/>
                <w:color w:val="auto"/>
              </w:rPr>
            </w:pPr>
          </w:p>
        </w:tc>
      </w:tr>
      <w:tr>
        <w:trPr>
          <w:trHeight w:val="234"/>
        </w:trPr>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2020</w:t>
            </w:r>
          </w:p>
        </w:tc>
        <w:tc>
          <w:tcPr>
            <w:tcW w:w="4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Greenleaf</w:t>
            </w:r>
          </w:p>
        </w:tc>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 Dispensaries and 1</w:t>
            </w: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Dispensaries located in:</w:t>
            </w:r>
          </w:p>
        </w:tc>
        <w:tc>
          <w:tcPr>
            <w:tcW w:w="1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2020</w:t>
            </w: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 the time of acquisition, only the original Montclair</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Compassion Center</w:t>
            </w:r>
          </w:p>
        </w:tc>
        <w:tc>
          <w:tcPr>
            <w:tcW w:w="16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Cultivation</w:t>
            </w: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-Montclair, NJ</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location was operational. We subsequently opened the</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LLC</w:t>
            </w: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-Rochelle Park, NJ</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Rochelle Park dispensary in May 2021 and opened the</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-Fort Lee, NJ</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Fort Lee dispensary in August 2022. All three</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Cultivation located in:</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dispensaries began by serving medical patients but</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vMerge w:val="continue"/>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transitioned to include adult-use customers during</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-Franklin, NJ</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2022 following the passage of adult-use legislation in</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the state. In 2024, we relocated the dispensary in</w:t>
            </w: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Montclair to Wharton to better serve that market.</w:t>
            </w: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Chicago Alternative</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2 Dispensaries</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-Chicago, IL (Chicago</w:t>
            </w:r>
          </w:p>
        </w:tc>
        <w:tc>
          <w:tcPr>
            <w:tcW w:w="17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Signed in December</w:t>
            </w:r>
          </w:p>
        </w:tc>
        <w:tc>
          <w:tcPr>
            <w:tcW w:w="4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Collectively referred to as “Midway,” the Archer</w:t>
            </w:r>
          </w:p>
        </w:tc>
        <w:tc>
          <w:tcPr>
            <w:tcW w:w="0" w:type="dxa"/>
            <w:vAlign w:val="bottom"/>
          </w:tcPr>
          <w:p>
            <w:pPr>
              <w:spacing w:after="0"/>
              <w:rPr>
                <w:sz w:val="1"/>
                <w:szCs w:val="1"/>
                <w:color w:val="auto"/>
              </w:rPr>
            </w:pPr>
          </w:p>
        </w:tc>
      </w:tr>
      <w:tr>
        <w:trPr>
          <w:trHeight w:val="184"/>
        </w:trPr>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Health Center, LLC</w:t>
            </w:r>
          </w:p>
        </w:tc>
        <w:tc>
          <w:tcPr>
            <w:tcW w:w="1680" w:type="dxa"/>
            <w:vAlign w:val="bottom"/>
          </w:tcPr>
          <w:p>
            <w:pPr>
              <w:spacing w:after="0"/>
              <w:rPr>
                <w:sz w:val="16"/>
                <w:szCs w:val="16"/>
                <w:color w:val="auto"/>
              </w:rPr>
            </w:pPr>
          </w:p>
        </w:tc>
        <w:tc>
          <w:tcPr>
            <w:tcW w:w="19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Ridge and Archer)</w:t>
            </w:r>
          </w:p>
        </w:tc>
        <w:tc>
          <w:tcPr>
            <w:tcW w:w="17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2020 and closed in</w:t>
            </w:r>
          </w:p>
        </w:tc>
        <w:tc>
          <w:tcPr>
            <w:tcW w:w="41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location was operational at signing and the Ascend by</w:t>
            </w:r>
          </w:p>
        </w:tc>
        <w:tc>
          <w:tcPr>
            <w:tcW w:w="0" w:type="dxa"/>
            <w:vAlign w:val="bottom"/>
          </w:tcPr>
          <w:p>
            <w:pPr>
              <w:spacing w:after="0"/>
              <w:rPr>
                <w:sz w:val="1"/>
                <w:szCs w:val="1"/>
                <w:color w:val="auto"/>
              </w:rPr>
            </w:pPr>
          </w:p>
        </w:tc>
      </w:tr>
      <w:tr>
        <w:trPr>
          <w:trHeight w:val="180"/>
        </w:trPr>
        <w:tc>
          <w:tcPr>
            <w:tcW w:w="1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Chicago</w:t>
            </w: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January 2022</w:t>
            </w:r>
          </w:p>
        </w:tc>
        <w:tc>
          <w:tcPr>
            <w:tcW w:w="41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Midway - Chicago Ridge location opened in April</w:t>
            </w: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Alternative Health</w:t>
            </w: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2021. Midway was included in our consolidated</w:t>
            </w:r>
          </w:p>
        </w:tc>
        <w:tc>
          <w:tcPr>
            <w:tcW w:w="0" w:type="dxa"/>
            <w:vAlign w:val="bottom"/>
          </w:tcPr>
          <w:p>
            <w:pPr>
              <w:spacing w:after="0"/>
              <w:rPr>
                <w:sz w:val="1"/>
                <w:szCs w:val="1"/>
                <w:color w:val="auto"/>
              </w:rPr>
            </w:pPr>
          </w:p>
        </w:tc>
      </w:tr>
      <w:tr>
        <w:trPr>
          <w:trHeight w:val="184"/>
        </w:trPr>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Center Holdings,</w:t>
            </w:r>
          </w:p>
        </w:tc>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results as a VIE from the initial signing in December</w:t>
            </w:r>
          </w:p>
        </w:tc>
        <w:tc>
          <w:tcPr>
            <w:tcW w:w="0" w:type="dxa"/>
            <w:vAlign w:val="bottom"/>
          </w:tcPr>
          <w:p>
            <w:pPr>
              <w:spacing w:after="0"/>
              <w:rPr>
                <w:sz w:val="1"/>
                <w:szCs w:val="1"/>
                <w:color w:val="auto"/>
              </w:rPr>
            </w:pPr>
          </w:p>
        </w:tc>
      </w:tr>
      <w:tr>
        <w:trPr>
          <w:trHeight w:val="180"/>
        </w:trPr>
        <w:tc>
          <w:tcPr>
            <w:tcW w:w="1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LLC</w:t>
            </w: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1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2020 until becoming a wholly-owned subsidiary with</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final closing in January 2022.</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FPAW Michigan 2,</w:t>
            </w:r>
          </w:p>
        </w:tc>
        <w:tc>
          <w:tcPr>
            <w:tcW w:w="16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6 Dispensaries</w:t>
            </w: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-3 dispensaries in the</w:t>
            </w:r>
          </w:p>
        </w:tc>
        <w:tc>
          <w:tcPr>
            <w:tcW w:w="17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December 2020</w:t>
            </w: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FPAW was owned by one of the founders of AWH,</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 (“FPAW”)</w:t>
            </w: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Grand Rapids, MI area</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who assigned 99.9% of its membership interest to</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-1 dispensary in the Ann</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AWH in December 2020 and was consolidated as a</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Arbor, MI area</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VIE prior to that date. Two dispensaries in the Grand</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-1 dispensary in Battle</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Rapids, MI area opened in September 2020 and March</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Creek, MI</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2021, and a third opened in early 2023. The Battle</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-1 dispensary in the</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Creek and Detroit area dispensaries opened in June</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Detroit, MI area</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2020 and the Ann Arbor dispensary opened in August</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2020. The Detroit dispensary was temporarily closed</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during 2024 and re-opened during the first quarter of</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 to serve adult-use customers.</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Hemma, LLC</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1 Cultivation</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-Monroe, OH</w:t>
            </w:r>
          </w:p>
        </w:tc>
        <w:tc>
          <w:tcPr>
            <w:tcW w:w="17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May 2021</w:t>
            </w:r>
          </w:p>
        </w:tc>
        <w:tc>
          <w:tcPr>
            <w:tcW w:w="4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AWH’s first cultivation site in Ohio with expansion</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potential.</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BCCO, LLC</w:t>
            </w:r>
          </w:p>
        </w:tc>
        <w:tc>
          <w:tcPr>
            <w:tcW w:w="1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1 Dispensary</w:t>
            </w:r>
          </w:p>
        </w:tc>
        <w:tc>
          <w:tcPr>
            <w:tcW w:w="196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-Carroll, OH</w:t>
            </w:r>
          </w:p>
        </w:tc>
        <w:tc>
          <w:tcPr>
            <w:tcW w:w="17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October 2021</w:t>
            </w:r>
          </w:p>
        </w:tc>
        <w:tc>
          <w:tcPr>
            <w:tcW w:w="41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Medical dispensary located in the greater Columbus</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area.</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Ohio Cannabis</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-Coshocton, OH</w:t>
            </w:r>
          </w:p>
        </w:tc>
        <w:tc>
          <w:tcPr>
            <w:tcW w:w="17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December 2021</w:t>
            </w:r>
          </w:p>
        </w:tc>
        <w:tc>
          <w:tcPr>
            <w:tcW w:w="4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Medical dispensary located in the greater Columbus</w:t>
            </w:r>
          </w:p>
        </w:tc>
        <w:tc>
          <w:tcPr>
            <w:tcW w:w="0" w:type="dxa"/>
            <w:vAlign w:val="bottom"/>
          </w:tcPr>
          <w:p>
            <w:pPr>
              <w:spacing w:after="0"/>
              <w:rPr>
                <w:sz w:val="1"/>
                <w:szCs w:val="1"/>
                <w:color w:val="auto"/>
              </w:rPr>
            </w:pPr>
          </w:p>
        </w:tc>
      </w:tr>
      <w:tr>
        <w:trPr>
          <w:trHeight w:val="239"/>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 LLC</w:t>
            </w: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area.</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Story of PA CR, LLC</w:t>
            </w:r>
          </w:p>
        </w:tc>
        <w:tc>
          <w:tcPr>
            <w:tcW w:w="1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6 Dispensaries and 1</w:t>
            </w:r>
          </w:p>
        </w:tc>
        <w:tc>
          <w:tcPr>
            <w:tcW w:w="196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Dispensaries located in:</w:t>
            </w:r>
          </w:p>
        </w:tc>
        <w:tc>
          <w:tcPr>
            <w:tcW w:w="17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April 2022</w:t>
            </w:r>
          </w:p>
        </w:tc>
        <w:tc>
          <w:tcPr>
            <w:tcW w:w="41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Clinical Registrant license permitting six dispensaries</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Cultivation</w:t>
            </w: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-Cranberry, PA</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and one cultivation facility in Pennsylvania. Five</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-Monaca, PA</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dispensaries have opened subsequent to purchase and</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-Scranton, PA</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one is still in development. The cultivation facility</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-Wayne, PA</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currently holds approximately 6,000 square feet of</w:t>
            </w: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-Whitehall, PA</w:t>
            </w:r>
          </w:p>
        </w:tc>
        <w:tc>
          <w:tcPr>
            <w:tcW w:w="1760" w:type="dxa"/>
            <w:vAlign w:val="bottom"/>
            <w:shd w:val="clear" w:color="auto" w:fill="CCEEFF"/>
          </w:tcPr>
          <w:p>
            <w:pPr>
              <w:spacing w:after="0"/>
              <w:rPr>
                <w:sz w:val="20"/>
                <w:szCs w:val="20"/>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canopy.</w:t>
            </w:r>
          </w:p>
        </w:tc>
        <w:tc>
          <w:tcPr>
            <w:tcW w:w="0" w:type="dxa"/>
            <w:vAlign w:val="bottom"/>
          </w:tcPr>
          <w:p>
            <w:pPr>
              <w:spacing w:after="0"/>
              <w:rPr>
                <w:sz w:val="1"/>
                <w:szCs w:val="1"/>
                <w:color w:val="auto"/>
              </w:rPr>
            </w:pPr>
          </w:p>
        </w:tc>
      </w:tr>
      <w:tr>
        <w:trPr>
          <w:trHeight w:val="297"/>
        </w:trPr>
        <w:tc>
          <w:tcPr>
            <w:tcW w:w="16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Cultivation located in:</w:t>
            </w:r>
          </w:p>
        </w:tc>
        <w:tc>
          <w:tcPr>
            <w:tcW w:w="1760" w:type="dxa"/>
            <w:vAlign w:val="bottom"/>
            <w:shd w:val="clear" w:color="auto" w:fill="CCEEFF"/>
          </w:tcPr>
          <w:p>
            <w:pPr>
              <w:spacing w:after="0"/>
              <w:rPr>
                <w:sz w:val="24"/>
                <w:szCs w:val="24"/>
                <w:color w:val="auto"/>
              </w:rPr>
            </w:pPr>
          </w:p>
        </w:tc>
        <w:tc>
          <w:tcPr>
            <w:tcW w:w="4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-Smithfield, PA</w:t>
            </w:r>
          </w:p>
        </w:tc>
        <w:tc>
          <w:tcPr>
            <w:tcW w:w="1760" w:type="dxa"/>
            <w:vAlign w:val="bottom"/>
            <w:shd w:val="clear" w:color="auto" w:fill="CCEEFF"/>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Patient Access,</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 Dispensaries</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-Sandusky, OH</w:t>
            </w: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dispensaries in Sandusky and Piqua opened in</w:t>
            </w:r>
          </w:p>
        </w:tc>
      </w:tr>
      <w:tr>
        <w:trPr>
          <w:trHeight w:val="184"/>
        </w:trPr>
        <w:tc>
          <w:tcPr>
            <w:tcW w:w="1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LLC</w:t>
            </w:r>
          </w:p>
        </w:tc>
        <w:tc>
          <w:tcPr>
            <w:tcW w:w="1700" w:type="dxa"/>
            <w:vAlign w:val="bottom"/>
          </w:tcPr>
          <w:p>
            <w:pPr>
              <w:spacing w:after="0"/>
              <w:rPr>
                <w:sz w:val="16"/>
                <w:szCs w:val="16"/>
                <w:color w:val="auto"/>
              </w:rPr>
            </w:pPr>
          </w:p>
        </w:tc>
        <w:tc>
          <w:tcPr>
            <w:tcW w:w="18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-Piqua, OH</w:t>
            </w: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signed in August 2022</w:t>
            </w:r>
          </w:p>
        </w:tc>
        <w:tc>
          <w:tcPr>
            <w:tcW w:w="40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December 2023 and the AWH “flagship” location in</w:t>
            </w:r>
          </w:p>
        </w:tc>
      </w:tr>
      <w:tr>
        <w:trPr>
          <w:trHeight w:val="180"/>
        </w:trPr>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-Cincinnati, OH</w:t>
            </w:r>
          </w:p>
        </w:tc>
        <w:tc>
          <w:tcPr>
            <w:tcW w:w="20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and consolidated as a</w:t>
            </w:r>
          </w:p>
        </w:tc>
        <w:tc>
          <w:tcPr>
            <w:tcW w:w="40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Cincinnati opened in January 2024.</w:t>
            </w:r>
          </w:p>
        </w:tc>
      </w:tr>
      <w:tr>
        <w:trPr>
          <w:trHeight w:val="176"/>
        </w:trPr>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VIE from signing; final</w:t>
            </w:r>
          </w:p>
        </w:tc>
        <w:tc>
          <w:tcPr>
            <w:tcW w:w="4060" w:type="dxa"/>
            <w:vAlign w:val="bottom"/>
          </w:tcPr>
          <w:p>
            <w:pPr>
              <w:spacing w:after="0"/>
              <w:rPr>
                <w:sz w:val="15"/>
                <w:szCs w:val="15"/>
                <w:color w:val="auto"/>
              </w:rPr>
            </w:pPr>
          </w:p>
        </w:tc>
      </w:tr>
      <w:tr>
        <w:trPr>
          <w:trHeight w:val="184"/>
        </w:trPr>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closing occurred in</w:t>
            </w:r>
          </w:p>
        </w:tc>
        <w:tc>
          <w:tcPr>
            <w:tcW w:w="4060" w:type="dxa"/>
            <w:vAlign w:val="bottom"/>
          </w:tcPr>
          <w:p>
            <w:pPr>
              <w:spacing w:after="0"/>
              <w:rPr>
                <w:sz w:val="16"/>
                <w:szCs w:val="16"/>
                <w:color w:val="auto"/>
              </w:rPr>
            </w:pPr>
          </w:p>
        </w:tc>
      </w:tr>
      <w:tr>
        <w:trPr>
          <w:trHeight w:val="234"/>
        </w:trPr>
        <w:tc>
          <w:tcPr>
            <w:tcW w:w="1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October 2025</w:t>
            </w:r>
          </w:p>
        </w:tc>
        <w:tc>
          <w:tcPr>
            <w:tcW w:w="4060" w:type="dxa"/>
            <w:vAlign w:val="bottom"/>
          </w:tcPr>
          <w:p>
            <w:pPr>
              <w:spacing w:after="0"/>
              <w:rPr>
                <w:sz w:val="20"/>
                <w:szCs w:val="20"/>
                <w:color w:val="auto"/>
              </w:rPr>
            </w:pPr>
          </w:p>
        </w:tc>
      </w:tr>
      <w:tr>
        <w:trPr>
          <w:trHeight w:val="176"/>
        </w:trPr>
        <w:tc>
          <w:tcPr>
            <w:tcW w:w="1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HG Holding, LLC</w:t>
            </w:r>
          </w:p>
        </w:tc>
        <w:tc>
          <w:tcPr>
            <w:tcW w:w="17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-Tinley Park, IL</w:t>
            </w: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AWH opened a dispensary in Tinley Park, IL in Q2</w:t>
            </w:r>
          </w:p>
        </w:tc>
      </w:tr>
      <w:tr>
        <w:trPr>
          <w:trHeight w:val="184"/>
        </w:trPr>
        <w:tc>
          <w:tcPr>
            <w:tcW w:w="1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4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was signed in August</w:t>
            </w:r>
          </w:p>
        </w:tc>
        <w:tc>
          <w:tcPr>
            <w:tcW w:w="40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2023.</w:t>
            </w:r>
          </w:p>
        </w:tc>
      </w:tr>
      <w:tr>
        <w:trPr>
          <w:trHeight w:val="180"/>
        </w:trPr>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4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2022 and final closing</w:t>
            </w:r>
          </w:p>
        </w:tc>
        <w:tc>
          <w:tcPr>
            <w:tcW w:w="4060" w:type="dxa"/>
            <w:vAlign w:val="bottom"/>
            <w:shd w:val="clear" w:color="auto" w:fill="CCEEFF"/>
          </w:tcPr>
          <w:p>
            <w:pPr>
              <w:spacing w:after="0"/>
              <w:rPr>
                <w:sz w:val="15"/>
                <w:szCs w:val="15"/>
                <w:color w:val="auto"/>
              </w:rPr>
            </w:pPr>
          </w:p>
        </w:tc>
      </w:tr>
      <w:tr>
        <w:trPr>
          <w:trHeight w:val="229"/>
        </w:trPr>
        <w:tc>
          <w:tcPr>
            <w:tcW w:w="1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occurred in April 2024</w:t>
            </w:r>
          </w:p>
        </w:tc>
        <w:tc>
          <w:tcPr>
            <w:tcW w:w="4060" w:type="dxa"/>
            <w:vAlign w:val="bottom"/>
            <w:shd w:val="clear" w:color="auto" w:fill="CCEEFF"/>
          </w:tcPr>
          <w:p>
            <w:pPr>
              <w:spacing w:after="0"/>
              <w:rPr>
                <w:sz w:val="19"/>
                <w:szCs w:val="19"/>
                <w:color w:val="auto"/>
              </w:rPr>
            </w:pPr>
          </w:p>
        </w:tc>
      </w:tr>
      <w:tr>
        <w:trPr>
          <w:trHeight w:val="176"/>
        </w:trPr>
        <w:tc>
          <w:tcPr>
            <w:tcW w:w="1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InLabs LLC</w:t>
            </w:r>
          </w:p>
        </w:tc>
        <w:tc>
          <w:tcPr>
            <w:tcW w:w="17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8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-Northlake, IL</w:t>
            </w:r>
          </w:p>
        </w:tc>
        <w:tc>
          <w:tcPr>
            <w:tcW w:w="20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AWH opened a dispensary in Northlake, IL in Q4</w:t>
            </w:r>
          </w:p>
        </w:tc>
      </w:tr>
      <w:tr>
        <w:trPr>
          <w:trHeight w:val="184"/>
        </w:trPr>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was signed in August</w:t>
            </w:r>
          </w:p>
        </w:tc>
        <w:tc>
          <w:tcPr>
            <w:tcW w:w="40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2023.</w:t>
            </w:r>
          </w:p>
        </w:tc>
      </w:tr>
      <w:tr>
        <w:trPr>
          <w:trHeight w:val="180"/>
        </w:trPr>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2022 and final closing</w:t>
            </w:r>
          </w:p>
        </w:tc>
        <w:tc>
          <w:tcPr>
            <w:tcW w:w="4060" w:type="dxa"/>
            <w:vAlign w:val="bottom"/>
          </w:tcPr>
          <w:p>
            <w:pPr>
              <w:spacing w:after="0"/>
              <w:rPr>
                <w:sz w:val="15"/>
                <w:szCs w:val="15"/>
                <w:color w:val="auto"/>
              </w:rPr>
            </w:pPr>
          </w:p>
        </w:tc>
      </w:tr>
      <w:tr>
        <w:trPr>
          <w:trHeight w:val="230"/>
        </w:trPr>
        <w:tc>
          <w:tcPr>
            <w:tcW w:w="1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occurred in July 2024</w:t>
            </w:r>
          </w:p>
        </w:tc>
        <w:tc>
          <w:tcPr>
            <w:tcW w:w="4060" w:type="dxa"/>
            <w:vAlign w:val="bottom"/>
          </w:tcPr>
          <w:p>
            <w:pPr>
              <w:spacing w:after="0"/>
              <w:rPr>
                <w:sz w:val="19"/>
                <w:szCs w:val="19"/>
                <w:color w:val="auto"/>
              </w:rPr>
            </w:pPr>
          </w:p>
        </w:tc>
      </w:tr>
      <w:tr>
        <w:trPr>
          <w:trHeight w:val="175"/>
        </w:trPr>
        <w:tc>
          <w:tcPr>
            <w:tcW w:w="1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Marichron Pharma,</w:t>
            </w:r>
          </w:p>
        </w:tc>
        <w:tc>
          <w:tcPr>
            <w:tcW w:w="17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 Processing Facility</w:t>
            </w:r>
          </w:p>
        </w:tc>
        <w:tc>
          <w:tcPr>
            <w:tcW w:w="1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-Columbus, OH</w:t>
            </w: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October 2022</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The Company acquired a processing facility which</w:t>
            </w:r>
          </w:p>
        </w:tc>
      </w:tr>
      <w:tr>
        <w:trPr>
          <w:trHeight w:val="184"/>
        </w:trPr>
        <w:tc>
          <w:tcPr>
            <w:tcW w:w="1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LLC</w:t>
            </w:r>
          </w:p>
        </w:tc>
        <w:tc>
          <w:tcPr>
            <w:tcW w:w="17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will process material produced at the nearby Monroe,</w:t>
            </w:r>
          </w:p>
        </w:tc>
      </w:tr>
      <w:tr>
        <w:trPr>
          <w:trHeight w:val="234"/>
        </w:trPr>
        <w:tc>
          <w:tcPr>
            <w:tcW w:w="16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OH cultivation facility.</w:t>
            </w:r>
          </w:p>
        </w:tc>
      </w:tr>
      <w:tr>
        <w:trPr>
          <w:trHeight w:val="175"/>
        </w:trPr>
        <w:tc>
          <w:tcPr>
            <w:tcW w:w="1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Devi Holdings, Inc.</w:t>
            </w:r>
          </w:p>
        </w:tc>
        <w:tc>
          <w:tcPr>
            <w:tcW w:w="17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4 Dispensaries</w:t>
            </w:r>
          </w:p>
        </w:tc>
        <w:tc>
          <w:tcPr>
            <w:tcW w:w="18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-1 Aberdeen, MD</w:t>
            </w:r>
          </w:p>
        </w:tc>
        <w:tc>
          <w:tcPr>
            <w:tcW w:w="20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During 2023, the Company acquired four dispensaries</w:t>
            </w:r>
          </w:p>
        </w:tc>
      </w:tr>
      <w:tr>
        <w:trPr>
          <w:trHeight w:val="184"/>
        </w:trPr>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-1 Crofton, MD</w:t>
            </w: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signed in January 2023</w:t>
            </w:r>
          </w:p>
        </w:tc>
        <w:tc>
          <w:tcPr>
            <w:tcW w:w="40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in Maryland.</w:t>
            </w:r>
          </w:p>
        </w:tc>
      </w:tr>
      <w:tr>
        <w:trPr>
          <w:trHeight w:val="180"/>
        </w:trPr>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-1 Ellicott City, MD</w:t>
            </w:r>
          </w:p>
        </w:tc>
        <w:tc>
          <w:tcPr>
            <w:tcW w:w="20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and closed in April</w:t>
            </w:r>
          </w:p>
        </w:tc>
        <w:tc>
          <w:tcPr>
            <w:tcW w:w="4060" w:type="dxa"/>
            <w:vAlign w:val="bottom"/>
          </w:tcPr>
          <w:p>
            <w:pPr>
              <w:spacing w:after="0"/>
              <w:rPr>
                <w:sz w:val="15"/>
                <w:szCs w:val="15"/>
                <w:color w:val="auto"/>
              </w:rPr>
            </w:pPr>
          </w:p>
        </w:tc>
      </w:tr>
      <w:tr>
        <w:trPr>
          <w:trHeight w:val="230"/>
        </w:trPr>
        <w:tc>
          <w:tcPr>
            <w:tcW w:w="1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 Laurel, MD</w:t>
            </w: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4060" w:type="dxa"/>
            <w:vAlign w:val="bottom"/>
          </w:tcPr>
          <w:p>
            <w:pPr>
              <w:spacing w:after="0"/>
              <w:rPr>
                <w:sz w:val="19"/>
                <w:szCs w:val="19"/>
                <w:color w:val="auto"/>
              </w:rPr>
            </w:pPr>
          </w:p>
        </w:tc>
      </w:tr>
      <w:tr>
        <w:trPr>
          <w:trHeight w:val="175"/>
        </w:trPr>
        <w:tc>
          <w:tcPr>
            <w:tcW w:w="1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Amesbury Seller</w:t>
            </w:r>
          </w:p>
        </w:tc>
        <w:tc>
          <w:tcPr>
            <w:tcW w:w="17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 Cultivation</w:t>
            </w:r>
          </w:p>
        </w:tc>
        <w:tc>
          <w:tcPr>
            <w:tcW w:w="1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-Amesbury, MA</w:t>
            </w: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 January 2024, the Company entered into a</w:t>
            </w:r>
          </w:p>
        </w:tc>
      </w:tr>
      <w:tr>
        <w:trPr>
          <w:trHeight w:val="184"/>
        </w:trPr>
        <w:tc>
          <w:tcPr>
            <w:tcW w:w="1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Entity</w:t>
            </w:r>
          </w:p>
        </w:tc>
        <w:tc>
          <w:tcPr>
            <w:tcW w:w="17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4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signed in January 2024;</w:t>
            </w:r>
          </w:p>
        </w:tc>
        <w:tc>
          <w:tcPr>
            <w:tcW w:w="40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definitive agreement to acquire a cultivation and a</w:t>
            </w:r>
          </w:p>
        </w:tc>
      </w:tr>
      <w:tr>
        <w:trPr>
          <w:trHeight w:val="180"/>
        </w:trPr>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4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final closing occurred</w:t>
            </w:r>
          </w:p>
        </w:tc>
        <w:tc>
          <w:tcPr>
            <w:tcW w:w="40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processing license in Massachusetts, allowing it to add</w:t>
            </w:r>
          </w:p>
        </w:tc>
      </w:tr>
      <w:tr>
        <w:trPr>
          <w:trHeight w:val="175"/>
        </w:trPr>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in April 2025</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additional capacity to support its growing retail and</w:t>
            </w:r>
          </w:p>
        </w:tc>
      </w:tr>
      <w:tr>
        <w:trPr>
          <w:trHeight w:val="243"/>
        </w:trPr>
        <w:tc>
          <w:tcPr>
            <w:tcW w:w="16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wholesale customer base in the state.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Company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Ascend is a vertically integrated multi-state cannabis operator focused on adult-use or near-term adult-use cannabis states in limited license markets. The Company’s core business is the cultivation, manufacturing, and distribution of cannabis consumer packaged goods, which are sold through company-owned retail stores, to retail partner locations, and to third-party licensed retail locations. Ascend believes in bettering lives through cannabis, with a mission to improve the lives of its employees, patients, customers and the communities we serve through the use of the cannabis plant.</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consumer products portfolio is generated primarily from plant material that the Company grows and processes. As of December 31, 2025, AWH produces consumer-packaged goods in six manufacturing facilities with 258,000 square feet of total canopy. The Company’s product portfolio consists of a range of cannabis product categories, including flower, pre-rolls, infused pre-rolls, concentrates, vapes, edibles, and tablets. During 2025, we sold approximately 225,000 pounds of wholesale product, on a gross basis. The Company’s expansion plans are subject to capital allocation decisions, the evolving regulatory environment, and general economic factors.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Offering</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Ascend produces and distributes cannabis products for AWH owned retail stores, retail partner locations, and wholesale customers. Ascend’s goal is to provide retail and wholesale customers with consistent access to quality cannabis products while maintaining a variety of form-factors and SKUs. Ascend currently produces multiple form factors including flower, pre-rolls, infused pre-rolls, edibles, concentrates, vapes, and more. Ascend produces products and sells them to its own retail stores in Illinois, Massachusetts, Michigan, New Jersey, Ohio, and Pennsylvania, and to third-party wholesale customers in Illinois, New Jersey, and Massachusetts.</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Ascend’s in-house brands offer a wide range of options to meet the preferences of a broad consumer base. Ascend’s branding strategy aims to provide value across the full spectrum of consumer needs, with a portfolio designed to serve customers seeking different product experiences and price points. Ascend’s in-house brands include: Ozone, Simply Herb, High Wired, Honor Roll, Royale, and Effin’.</w:t>
      </w:r>
    </w:p>
    <w:p>
      <w:pPr>
        <w:spacing w:after="0" w:line="120" w:lineRule="exact"/>
        <w:rPr>
          <w:sz w:val="20"/>
          <w:szCs w:val="20"/>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Ozone </w:t>
      </w:r>
      <w:r>
        <w:rPr>
          <w:rFonts w:ascii="Times New Roman" w:cs="Times New Roman" w:eastAsia="Times New Roman" w:hAnsi="Times New Roman"/>
          <w:sz w:val="18"/>
          <w:szCs w:val="18"/>
          <w:color w:val="auto"/>
        </w:rPr>
        <w:t>serves as Ascend’s core lifestyle brand, offering a broad range of high-quality products tailored to both experienced consumers and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newer to cannabis. Ozone spans multiple form factors, including flower, pre-rolls, concentrates, vapes, and gummies, and is currently available across all six markets where Ascend operates cultivation facilities. According to BDSA, a provider of market intelligence for the cannabis industry, Ozone ranked among the leading flower brands in certain of its core markets, including New Jersey, Massachusetts, and Illinois.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Simply Herb </w:t>
      </w:r>
      <w:r>
        <w:rPr>
          <w:rFonts w:ascii="Times New Roman" w:cs="Times New Roman" w:eastAsia="Times New Roman" w:hAnsi="Times New Roman"/>
          <w:sz w:val="18"/>
          <w:szCs w:val="18"/>
          <w:color w:val="auto"/>
        </w:rPr>
        <w:t>provides accessible, reliable cannabis offerings for everyday use while maintaining consistent quality across form factors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The brand aims to deliver strong value and broad consumer appeal. Simply Herb is currently produced and sold across all six markets where Ascend has cultivation facilities, including Illinois, Massachusetts, Michigan, New Jersey, Ohio, and Pennsylvania. The brand achieved leading market share in the state of Massachusetts, according to BDSA, and has been a meaningful driver for the growth the Company has seen in the Massachusetts wholesale market, despite pressures within that market. Simply Herb has also become a customer favorite brand in Illinois, climbing to the top-five in this market in flower and shake/trim sales.</w:t>
      </w:r>
    </w:p>
    <w:p>
      <w:pPr>
        <w:spacing w:after="0" w:line="128"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 Wired </w:t>
      </w:r>
      <w:r>
        <w:rPr>
          <w:rFonts w:ascii="Times New Roman" w:cs="Times New Roman" w:eastAsia="Times New Roman" w:hAnsi="Times New Roman"/>
          <w:sz w:val="18"/>
          <w:szCs w:val="18"/>
          <w:color w:val="auto"/>
        </w:rPr>
        <w:t>is our newest infused brand developed for experienced cannabis consumers, featured in flower and pre-roll forms. Made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blend of ground premium flower, high-quality concentrate, and THCA diamonds, the brand launched in 2025 in Illinois, and following a successful debut, is now also offered in Massachusetts and New Jersey. High Wired expands our portfolio into the fast-growing infused-category and is targeted at consumers seeking potent, consistent infused cannabis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8" w:lineRule="exact"/>
        <w:rPr>
          <w:sz w:val="20"/>
          <w:szCs w:val="20"/>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Honor Roll </w:t>
      </w:r>
      <w:r>
        <w:rPr>
          <w:rFonts w:ascii="Times New Roman" w:cs="Times New Roman" w:eastAsia="Times New Roman" w:hAnsi="Times New Roman"/>
          <w:sz w:val="18"/>
          <w:szCs w:val="18"/>
          <w:color w:val="auto"/>
        </w:rPr>
        <w:t>is our newest brand, launched in Illinois in late 2025. Honor Roll products consist of pre-rolls made with 100% flower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expand the Company’s branded product offerings in the pre-roll category.</w:t>
      </w:r>
    </w:p>
    <w:p>
      <w:pPr>
        <w:spacing w:after="0" w:line="10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Royale </w:t>
      </w:r>
      <w:r>
        <w:rPr>
          <w:rFonts w:ascii="Times New Roman" w:cs="Times New Roman" w:eastAsia="Times New Roman" w:hAnsi="Times New Roman"/>
          <w:sz w:val="18"/>
          <w:szCs w:val="18"/>
          <w:color w:val="auto"/>
        </w:rPr>
        <w:t>is Ascend’s flagship brand in Michigan and includes flower, pre-rolls, and vapes curated for the Michigan market.</w:t>
      </w:r>
    </w:p>
    <w:p>
      <w:pPr>
        <w:spacing w:after="0" w:line="17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Effin’ </w:t>
      </w:r>
      <w:r>
        <w:rPr>
          <w:rFonts w:ascii="Times New Roman" w:cs="Times New Roman" w:eastAsia="Times New Roman" w:hAnsi="Times New Roman"/>
          <w:sz w:val="18"/>
          <w:szCs w:val="18"/>
          <w:color w:val="auto"/>
        </w:rPr>
        <w:t>is our edibles and vape-only brand focused on delivering specific effects through unique minor cannabinoid/THC/function ingredients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 that are currently offered in Illinois, Massachusetts, New Jersey, and Michigan.</w:t>
      </w: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producing its own brands, AWH also partners with multiple premier brands for which it cultivates and sells products targeted to different demographics. Among our partner brands are Miss Grass, Lowell Smokes, 1906, Black Buddha, and Curio Wellness. This model allows AWH to reach complementary customer segments within key markets while leveraging the established brand recognition of its partner brands.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aims to have a diverse portfolio of brand offerings, it remains consistent in its strategy of having roughly 50% of products sold in Ascend retail dispensaries be in-house or partner branded products. With this strategy, AWH expects to benefit from vertical margins, while maintaining an offering with options and variety for its retail consumers. No customer represented more than 10% of the Company’s net revenue during 2025, 2024, or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growth strategy is centered on the following core strategic principles:</w:t>
      </w:r>
    </w:p>
    <w:p>
      <w:pPr>
        <w:spacing w:after="0" w:line="167" w:lineRule="exact"/>
        <w:rPr>
          <w:sz w:val="20"/>
          <w:szCs w:val="20"/>
          <w:color w:val="auto"/>
        </w:rPr>
      </w:pPr>
    </w:p>
    <w:p>
      <w:pPr>
        <w:jc w:val="both"/>
        <w:ind w:left="6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Achieving vertical integration and scale in limited-license markets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vertically integrated in a majority of the markets in which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operates and aims to maximize retail sales of products it manufactures or produces, as permitted by applicable law. This entails controlling the entire supply chain from seed to sale, either through direct ownership or through contractual arrangements with third-party operators, where permitted by applicable law. AWH is currently vertically integrated in six of its seven states of operation. Five of the seven markets in which AWH operates are in states that pose restrictions limiting the number of licenses allowable, creating a more competitive dynamic. AWH seeks to maintain a competitive position in each of the markets in which it operates. The Company evaluates expansion opportunities into new states based on its ability to develop a scaled operating presence, which may include obtaining multiple dispensary and cultivation licenses within regulatory limits.</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 flagship locations. </w:t>
      </w:r>
      <w:r>
        <w:rPr>
          <w:rFonts w:ascii="Times New Roman" w:cs="Times New Roman" w:eastAsia="Times New Roman" w:hAnsi="Times New Roman"/>
          <w:sz w:val="18"/>
          <w:szCs w:val="18"/>
          <w:color w:val="auto"/>
        </w:rPr>
        <w:t>AWH is dedicated to establishing a retail presence in key flagship locations. AWH believes that location is critical when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comes to the success and long-term sustainability of a dispensary. By situating the stores in marquee locations, AWH believes the barriers to entry for competition are higher. Some of AWH’s flagship locations include: (1) Ascend Rochelle Park, which is located on Route 17 just a mile from the Garden State Plaza in highly trafficked northern New Jersey, (2) Ascend Boston, which is located in downtown Boston between TD Garden and Faneuil Hall, (3) Ascend Fairview Heights, which is strategically located in the retail corridor near St. Louis, (4) Ascend Cincinnati, which is its flagship location in Ohio, (5) Ascend Scranton, and (6) Ascend Aberdeen in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jc w:val="both"/>
        <w:ind w:left="66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capital allocation and execution of mergers and acquisitions. </w:t>
      </w:r>
      <w:r>
        <w:rPr>
          <w:rFonts w:ascii="Times New Roman" w:cs="Times New Roman" w:eastAsia="Times New Roman" w:hAnsi="Times New Roman"/>
          <w:sz w:val="18"/>
          <w:szCs w:val="18"/>
          <w:color w:val="auto"/>
        </w:rPr>
        <w:t>AWH has a disciplined capital allocation strategy. The Company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deploys capital in markets and on projects which it believes will be accretive to its stockholders. To date, the bulk of the Company’s expansion has been through acquisitions. The Company views M&amp;A as the fastest path to growth given the barriers to entry and the regulatory environment in the cannabis industry. Largely due to early license awards, there are a number of independent and single-state operators in the markets in which we operate today. These assets represent attractive acquisition opportunities, as the Company can leverage its local permitting expertise and operational and financial resources to optimize the performance of these assets. Most of the Company’s acquisitions have been negotiated and priced prior to the respective state’s passing of adult-use legislation. Many of the assets AWH has acquired have historically operated below their potential under prior ownership. Following acquisition, the Company has sought to enhance performance by implementing its standard operating procedures, technology, and centralized operational processes, with the objective of improving operating efficiency and profitability. Core to the Company’s strategy has been entering limited-license, late-stage medical markets with an anticipated adult-use cannabis market launch. This approach has made AWH a leader in Illinois, New Jersey, Maryland, and most recently, Ohio, and the Company is following the same playbook in Pennsylvania.</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been successful in opening facilities and dispensaries and expects continued growth to be driven by a combination of: (i) opening new operational facilities and dispensaries under our current licenses; (ii) expanding our retail footprint through partner-operated retail locations, where permitted by applicable law; (iii) expansion of our existing facilities; and (iv) increased consumer demand.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AWH has direct or indirect operations or financial interests in seven U.S. geographic markets: Illinois, Maryland, Massachusetts, Michigan, New Jersey, Ohio, and Pennsylvania. AWH has expanded its operational footprint primarily through several acquisitions as identified above. See acquisition history in “</w:t>
      </w:r>
      <w:r>
        <w:rPr>
          <w:rFonts w:ascii="Times New Roman" w:cs="Times New Roman" w:eastAsia="Times New Roman" w:hAnsi="Times New Roman"/>
          <w:sz w:val="18"/>
          <w:szCs w:val="18"/>
          <w:i w:val="1"/>
          <w:iCs w:val="1"/>
          <w:color w:val="auto"/>
        </w:rPr>
        <w:t>History of the Company.</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acquisitions the Company has made, AWH has benefited from several cultivation expansion opportunities. Since inception in 2018, the Company completed cultivation builds in Illinois, Massachusetts, Michigan, New Jersey, Ohio, and Pennsylvania. The Company sells to its own retail stores in each of these states and to third-party wholesale customers in Illinois, Massachusetts, and New Jersey.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Summary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AWH’s core business is the cultivation, manufacturing, and distribution of cannabis consumer packaged goods, which are sold through company-owned retail stores, to retail partner locations, and to third-party licensed retail locations. The Company aims to be vertically integrated in the majority of the states in which it operates, which entails controlling the entire supply chain from seed to sale. AWH has been successful in opening facilities and dispensaries, and anticipates future growth to be driven by opening new dispensaries under current licenses, expansion of current facilities, and increased consumer demand, as well as by providing support to retail partner locations.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AWH’s cultivation practices have been engineered for scalability and repeatability as the Company expands into additional states. AWH aims to continuously refine cultivation operations to scale output without sacrificing quality and consistency. Future expansion is planned to provide the infrastructure to diversify the seed supply and further mechanize and automate harvest operations. AWH believes it will be able to continue to improve cultivation by increasing yields by dialing in genetics and enhancing environmental conditions and is focused on lowering the cultivation cost per gram of biomass in the markets in which the Company operates. AWH has used strain rationalization, improved cultivation practices, and investments in technology to drive higher yields per square foot.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manufacturing operations are focused on product quality and the efficiency of production. The Company maintains standardized quality assurance protocols and operating procedures designed to support consistent product standards across its manufacturing facilities and operating markets. AWH is focused on scaling capacity, improving yields, and increasing efficiency. AWH is standardizing and increasing capacity in hydrocarbon and ethanol extraction to enhance throughout and improve crude yields. The Company is also investing in manufacturing and extraction technology, including high speed flower packaging, cartridge filling, and automated pre-rolling to improve operational efficiency and reduce labor intensity.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distribution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AWH remains dedicated to the wholesale distribution of its products to support its retail stores, retail partner locations, and third-party retail operators and is acutely focused on category management and expansion, with development efforts focused on flower, pre-rolls, vapes, edibles, infused flower, and other ready-to-use product forms that it expects to outperform whole flower over time. The Company is also concentrating on expanding the vape offering, including live products and ratio products that represent fast growing segments of the vape category, and broadening the pre-roll offerings. The Company expects the pre-roll category to grow significantly as the preferred way to consume flower for many customers. In 2021, AWH launched a pre-roll partnership with Lowell Smokes and in 2022 the Company launched multiple additional pre-roll SKUs in smaller sizes, innovative multi-pack options, and premium infused pre-rolls. During 2022, the Company also launched a pre-roll partnership with Miss Grass that has been well received by customers. AWH continues to expand the edibles manufacturing capabilities to provide micro-dose product forms along with additional forms desired by the market. Strategic partnerships are a key part of diversifying and expanding the Company’s offering. In 2023, the Company launched a new flavor-forward product family (for vapes, shakes, and pre-rolls) for the Simply Herb brand in Illinois, Massachusetts, and New Jersey. AWH also expanded our partnerships and brought certain partner-brands to new states. In 2025, the Company launched two new brands, High Wired and Honor Roll, as well as effects-centric edibles under Effin’, and introduced over 550 new SKUs across our product portfolio, further fortifying the Company’s commitment to expand product offerings to better serve the patients and customers in our markets.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AWH operates both licensed retail adult-use and medicinal cannabis dispensaries. The Ascend retail brand aims to elevate the cannabis shopping experience by combining consistent and convenient customer service with high-quality products and exclusive brand partnerships. AWH believes the retail operating principles described below differentiate the Company from its competitors.</w:t>
      </w:r>
    </w:p>
    <w:p>
      <w:pPr>
        <w:spacing w:after="0" w:line="118" w:lineRule="exact"/>
        <w:rPr>
          <w:sz w:val="20"/>
          <w:szCs w:val="20"/>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Location. </w:t>
      </w:r>
      <w:r>
        <w:rPr>
          <w:rFonts w:ascii="Times New Roman" w:cs="Times New Roman" w:eastAsia="Times New Roman" w:hAnsi="Times New Roman"/>
          <w:sz w:val="18"/>
          <w:szCs w:val="18"/>
          <w:color w:val="auto"/>
        </w:rPr>
        <w:t>All of the Company’s dispensaries are located in key retail locations. AWH believes location is a huge barrier to entry for defending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positioning overtime. Each of the Company’s dispensaries are located within a turn off of a major highway or in a highly trafficked downtown. Ascend has pioneered the concept of flagship locations, with key dispensaries in premium locations in markets where the demand is limited by supply.</w:t>
      </w:r>
    </w:p>
    <w:p>
      <w:pPr>
        <w:spacing w:after="0" w:line="12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 </w:t>
      </w:r>
      <w:r>
        <w:rPr>
          <w:rFonts w:ascii="Times New Roman" w:cs="Times New Roman" w:eastAsia="Times New Roman" w:hAnsi="Times New Roman"/>
          <w:sz w:val="18"/>
          <w:szCs w:val="18"/>
          <w:color w:val="auto"/>
        </w:rPr>
        <w:t>Ascend believes in using the power of the cannabis plant to help people better their lives. As a company, AWH has a strong commitment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success of the brand and maintaining this vision, putting the customer at the center of all strategies and efforts.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People and Culture. </w:t>
      </w:r>
      <w:r>
        <w:rPr>
          <w:rFonts w:ascii="Times New Roman" w:cs="Times New Roman" w:eastAsia="Times New Roman" w:hAnsi="Times New Roman"/>
          <w:sz w:val="18"/>
          <w:szCs w:val="18"/>
          <w:color w:val="auto"/>
        </w:rPr>
        <w:t>AWH prioritizes hiring store managers with prior experience in cannabis and emphasizes talent development for the rest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store employees. The Company has an extensive onboarding and training program focused not only on brand and product knowledge, regulatory compliance, and retail execution. AWH employees are motivated by daily sales goals set at the stores. AWH reaches these goals by ensuring it has the right product and the right talent in place to deliver a best-in-class customer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ind w:left="66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Volume Focus. </w:t>
      </w:r>
      <w:r>
        <w:rPr>
          <w:rFonts w:ascii="Times New Roman" w:cs="Times New Roman" w:eastAsia="Times New Roman" w:hAnsi="Times New Roman"/>
          <w:sz w:val="18"/>
          <w:szCs w:val="18"/>
          <w:color w:val="auto"/>
        </w:rPr>
        <w:t>AWH is focused on driving high transaction volume in its retail stores. The Company improves traffic with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point of sales systems, optimized store layouts, and enhanced menu management.</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Omni-channel experiences. </w:t>
      </w:r>
      <w:r>
        <w:rPr>
          <w:rFonts w:ascii="Times New Roman" w:cs="Times New Roman" w:eastAsia="Times New Roman" w:hAnsi="Times New Roman"/>
          <w:sz w:val="18"/>
          <w:szCs w:val="18"/>
          <w:color w:val="auto"/>
        </w:rPr>
        <w:t>As customer shopping preferences continue to evolve and customers increasingly engage across multiple channels,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AWH strives to create a best-in-class, omni-channel customer experience. In 2025, the Company launched a revamped eCommerce platform designed to enhance customer engagement, including a new loyalty program, the “Ascenders Club.” This loyalty program is structured as a tiered program intended to reward and engage customers across all retail channels. The Company also revamped its digital experience through the “Ascend Dispensary App” which was redesigned to provide customers with a better shopping experience to browse products, track rewards, and complete purchases through the application using secure digital payment functionality, where permitted by applicable law. Additional omni-channel experiences include:</w:t>
      </w:r>
    </w:p>
    <w:p>
      <w:pPr>
        <w:spacing w:after="0" w:line="130"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3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Reserve-Online-Pickup-in-Store. </w:t>
      </w:r>
      <w:r>
        <w:rPr>
          <w:rFonts w:ascii="Times New Roman" w:cs="Times New Roman" w:eastAsia="Times New Roman" w:hAnsi="Times New Roman"/>
          <w:sz w:val="18"/>
          <w:szCs w:val="18"/>
          <w:color w:val="auto"/>
        </w:rPr>
        <w:t>This allows customers to purchase merchandise through letsascend.com and pick-up the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in-store, which often drives incremental in-store sales. Over 85% of customers at AWH retail locations utilize eCommerce technology, including kiosk menus, for ordering and pick-up.</w:t>
      </w:r>
    </w:p>
    <w:p>
      <w:pPr>
        <w:spacing w:after="0" w:line="65"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w:t>
      </w:r>
      <w:r>
        <w:rPr>
          <w:rFonts w:ascii="Times New Roman" w:cs="Times New Roman" w:eastAsia="Times New Roman" w:hAnsi="Times New Roman"/>
          <w:sz w:val="18"/>
          <w:szCs w:val="18"/>
          <w:color w:val="auto"/>
        </w:rPr>
        <w:t>AWH has delivery programs out of Newton, Massachusetts; Boston Massachusetts; Grand Rapids (Scribner St), Michigan; 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Lansing Michigan; and Fort Lee, Wharton, and Rochelle Park, New Jersey. Delivery enables AWH to bring customers the products they enjoy straight to the comfort of their homes.</w:t>
      </w:r>
    </w:p>
    <w:p>
      <w:pPr>
        <w:spacing w:after="0" w:line="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Curbside Pickup. </w:t>
      </w:r>
      <w:r>
        <w:rPr>
          <w:rFonts w:ascii="Times New Roman" w:cs="Times New Roman" w:eastAsia="Times New Roman" w:hAnsi="Times New Roman"/>
          <w:sz w:val="18"/>
          <w:szCs w:val="18"/>
          <w:color w:val="auto"/>
        </w:rPr>
        <w:t>This offering allows customers to have their orders brought directly to their vehicles.</w:t>
      </w:r>
    </w:p>
    <w:p>
      <w:pPr>
        <w:spacing w:after="0" w:line="117"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Consultations and Real-time Chat. </w:t>
      </w:r>
      <w:r>
        <w:rPr>
          <w:rFonts w:ascii="Times New Roman" w:cs="Times New Roman" w:eastAsia="Times New Roman" w:hAnsi="Times New Roman"/>
          <w:sz w:val="18"/>
          <w:szCs w:val="18"/>
          <w:color w:val="auto"/>
        </w:rPr>
        <w:t>This allows customers to interact with associates, ask questions and build their basket ahead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in-store visit, driving associate productivity and incremental sales.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Sourcing</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Ascend continues to emphasize supply chain optimization and strategic sourcing as the Company scales, allowing our growing base to provide leverage across the organization. This includes a focus on supplier rationalization, so that best-in-class supply partners are providing full end-to-end service across the enterprise. Building a common base of operating procedures, packaging and supply components, and supply partners across the organization is intended to support operational consistency and cost efficiency.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Environmental, Social, and Governance (“ESG”) initiatives are at the core of AWH’s guiding principles. AWH is committed to creating an inclusive, sustainable company that provides best-in-class governance. Below are a few of the key ESG initiatives at AWH.</w:t>
      </w:r>
    </w:p>
    <w:p>
      <w:pPr>
        <w:spacing w:after="0" w:line="104" w:lineRule="exact"/>
        <w:rPr>
          <w:sz w:val="20"/>
          <w:szCs w:val="20"/>
          <w:color w:val="auto"/>
        </w:rPr>
      </w:pPr>
    </w:p>
    <w:p>
      <w:pPr>
        <w:ind w:left="660" w:right="2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242424"/>
        </w:rPr>
        <w:t>The planet is important to us. We try to make daily decisions that have better impacts on the planet. Some of our practices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optimize our resource usage to minimize our impact include:</w:t>
      </w:r>
    </w:p>
    <w:p>
      <w:pPr>
        <w:spacing w:after="0" w:line="1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 xml:space="preserve">Packaging. </w:t>
      </w:r>
      <w:r>
        <w:rPr>
          <w:rFonts w:ascii="Times New Roman" w:cs="Times New Roman" w:eastAsia="Times New Roman" w:hAnsi="Times New Roman"/>
          <w:sz w:val="18"/>
          <w:szCs w:val="18"/>
          <w:color w:val="242424"/>
        </w:rPr>
        <w:t>AWH sources packaging that is derived from approximately 60% of recycled or biodegradable materials.</w:t>
      </w:r>
    </w:p>
    <w:p>
      <w:pPr>
        <w:spacing w:after="0" w:line="171" w:lineRule="exact"/>
        <w:rPr>
          <w:rFonts w:ascii="Times New Roman" w:cs="Times New Roman" w:eastAsia="Times New Roman" w:hAnsi="Times New Roman"/>
          <w:sz w:val="18"/>
          <w:szCs w:val="18"/>
          <w:color w:val="242424"/>
        </w:rPr>
      </w:pPr>
    </w:p>
    <w:p>
      <w:pPr>
        <w:ind w:left="1300" w:hanging="320"/>
        <w:spacing w:after="0" w:line="284" w:lineRule="auto"/>
        <w:tabs>
          <w:tab w:leader="none" w:pos="1296" w:val="left"/>
        </w:tabs>
        <w:numPr>
          <w:ilvl w:val="1"/>
          <w:numId w:val="10"/>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Water-use Practices</w:t>
      </w:r>
      <w:r>
        <w:rPr>
          <w:rFonts w:ascii="Times New Roman" w:cs="Times New Roman" w:eastAsia="Times New Roman" w:hAnsi="Times New Roman"/>
          <w:sz w:val="18"/>
          <w:szCs w:val="18"/>
          <w:color w:val="242424"/>
        </w:rPr>
        <w:t>. AWH leverages precision drip irrigation systems and control systems to optimize the minimal use of irrigation water</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as part of its cannabis cultivation practices.</w:t>
      </w:r>
    </w:p>
    <w:p>
      <w:pPr>
        <w:spacing w:after="0" w:line="104" w:lineRule="exact"/>
        <w:rPr>
          <w:rFonts w:ascii="Times New Roman" w:cs="Times New Roman" w:eastAsia="Times New Roman" w:hAnsi="Times New Roman"/>
          <w:sz w:val="18"/>
          <w:szCs w:val="18"/>
          <w:color w:val="242424"/>
        </w:rPr>
      </w:pPr>
    </w:p>
    <w:p>
      <w:pPr>
        <w:jc w:val="both"/>
        <w:ind w:left="1300" w:hanging="320"/>
        <w:spacing w:after="0" w:line="267" w:lineRule="auto"/>
        <w:tabs>
          <w:tab w:leader="none" w:pos="1323" w:val="left"/>
        </w:tabs>
        <w:numPr>
          <w:ilvl w:val="1"/>
          <w:numId w:val="10"/>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Energy Practices</w:t>
      </w:r>
      <w:r>
        <w:rPr>
          <w:rFonts w:ascii="Times New Roman" w:cs="Times New Roman" w:eastAsia="Times New Roman" w:hAnsi="Times New Roman"/>
          <w:sz w:val="18"/>
          <w:szCs w:val="18"/>
          <w:color w:val="242424"/>
        </w:rPr>
        <w:t>. AWH utilizes electricity to manage the environmental growing conditions for its cannabis cultivation. Through</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rigorous application of control systems, cannabis is grown with high yields for medical and adult-use while optimizing the use of electricity used to control temperatures in an indoor growing environment. The use of efficient indoor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242424"/>
        </w:rPr>
        <w:t>controls, combined with our switch to LED lighting, minimizes the use of electricity to achieve high quality and high yielding medical and adult-use cannabis.</w:t>
      </w:r>
    </w:p>
    <w:p>
      <w:pPr>
        <w:spacing w:after="0" w:line="106" w:lineRule="exact"/>
        <w:rPr>
          <w:sz w:val="20"/>
          <w:szCs w:val="20"/>
          <w:color w:val="auto"/>
        </w:rPr>
      </w:pPr>
    </w:p>
    <w:p>
      <w:pPr>
        <w:ind w:left="1300" w:right="20" w:hanging="320"/>
        <w:spacing w:after="0" w:line="284" w:lineRule="auto"/>
        <w:tabs>
          <w:tab w:leader="none" w:pos="1296" w:val="left"/>
        </w:tabs>
        <w:numPr>
          <w:ilvl w:val="1"/>
          <w:numId w:val="11"/>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Greenhouse</w:t>
      </w:r>
      <w:r>
        <w:rPr>
          <w:rFonts w:ascii="Times New Roman" w:cs="Times New Roman" w:eastAsia="Times New Roman" w:hAnsi="Times New Roman"/>
          <w:sz w:val="18"/>
          <w:szCs w:val="18"/>
          <w:color w:val="242424"/>
        </w:rPr>
        <w:t>. In January 2022, AWH began planting 55,000 square feet of cultivation in its greenhouse in Illinois. In 2025, on average,</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the greenhouse required approximately 41% less energy per square foot of cultivation compared to the rest of the portfolio.</w:t>
      </w:r>
    </w:p>
    <w:p>
      <w:pPr>
        <w:spacing w:after="0" w:line="104" w:lineRule="exact"/>
        <w:rPr>
          <w:rFonts w:ascii="Times New Roman" w:cs="Times New Roman" w:eastAsia="Times New Roman" w:hAnsi="Times New Roman"/>
          <w:sz w:val="18"/>
          <w:szCs w:val="18"/>
          <w:color w:val="242424"/>
        </w:rPr>
      </w:pPr>
    </w:p>
    <w:p>
      <w:pPr>
        <w:ind w:left="1300" w:hanging="320"/>
        <w:spacing w:after="0" w:line="284" w:lineRule="auto"/>
        <w:tabs>
          <w:tab w:leader="none" w:pos="1323" w:val="left"/>
        </w:tabs>
        <w:numPr>
          <w:ilvl w:val="1"/>
          <w:numId w:val="11"/>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Waste Management</w:t>
      </w:r>
      <w:r>
        <w:rPr>
          <w:rFonts w:ascii="Times New Roman" w:cs="Times New Roman" w:eastAsia="Times New Roman" w:hAnsi="Times New Roman"/>
          <w:sz w:val="18"/>
          <w:szCs w:val="18"/>
          <w:color w:val="242424"/>
        </w:rPr>
        <w:t>. AWH has put processes in place to minimize its waste production. We shred green waste to reduce space and</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coordinate pickups to coincide with harvest schedules to minimize the number of trips, among other things.</w:t>
      </w:r>
    </w:p>
    <w:p>
      <w:pPr>
        <w:spacing w:after="0" w:line="102" w:lineRule="exact"/>
        <w:rPr>
          <w:rFonts w:ascii="Times New Roman" w:cs="Times New Roman" w:eastAsia="Times New Roman" w:hAnsi="Times New Roman"/>
          <w:sz w:val="18"/>
          <w:szCs w:val="18"/>
          <w:color w:val="242424"/>
        </w:rPr>
      </w:pP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Equity. </w:t>
      </w:r>
      <w:r>
        <w:rPr>
          <w:rFonts w:ascii="Times New Roman" w:cs="Times New Roman" w:eastAsia="Times New Roman" w:hAnsi="Times New Roman"/>
          <w:sz w:val="18"/>
          <w:szCs w:val="18"/>
          <w:color w:val="auto"/>
        </w:rPr>
        <w:t>While AWH understands and appreciates how fortunate the Company is to be in a position to help build and guide the future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modern cannabis, AWH is also acutely aware of the lives that have been destroyed, especially in minority communities, through decades of unjust laws and inequitable enforcement. Ascend’s social equity mission is to help create a stronger and more equitable cannabis industry through collaboration and make an impact on the social disparities caused by the war on drugs. Ascend aims to achieve this by creating authentic relationships with the communities we serve, working collaboratively to create programming that sustains healthy and vibrant communities, and leveraging our resources to benefit those most impacted by the war on drugs. Some of our focus areas and outreach initiatives across our markets include: hosting expungement clinics and resource fairs to reach community members; sponsoring diversity in cannabis events; engaging in supplier diversity programs; and donating to social equity partners and grass roots organizations.</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Governance. </w:t>
      </w:r>
      <w:r>
        <w:rPr>
          <w:rFonts w:ascii="Times New Roman" w:cs="Times New Roman" w:eastAsia="Times New Roman" w:hAnsi="Times New Roman"/>
          <w:sz w:val="18"/>
          <w:szCs w:val="18"/>
          <w:color w:val="auto"/>
        </w:rPr>
        <w:t>The Company maintains a corporate governance framework designed to support oversight, accountability, and compliance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securities and exchange requirements. The Compensation and Governance Committee and the Audit Committee consist of a majority of independent directors. The Company publishes its key governance policies, including the charters of its Audit and Compensation and Corporate Governance committees, as well as access to its whistleblower hotline on its investor website.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had approximately 2,300 employees (excluding employees of retail partner locations), approximately 92% of whom were in field operations and approximately 8% of whom were in corporate administrative and management. Approximately 33% were represented by thirteen collective bargaining agreements with local chapters of labor unions, with expiration dates ranging from May 2026 to December 2028. We have not experienced any significant work slowdowns, stoppages, or other labor disruptions. The Company considers its employee relations to be generally positive.</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offer our employees opportunities to grow and develop their careers and provide them with a wide array of company paid benefits and compensation packages which we believe are competitive relative to our peers in the industry. As of December 31, 2025, 24% of leadership positions (defined as supervisor and above) were held by racial minorities and 42% of leadership positions were held by women.</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number and levels of employees are continually aligned with the pace and growth of our business and management believes it has sufficient human capital to operate the business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by State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an overview of our cultivation and dispensary assets by state that are currently operational, as well as our expected asset base once fully built out.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Cultivation Assets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Across its cultivation assets, as of December 31, 2025, AWH had 258,000 square feet of total canopy, which is defined as the square footage of flower, vegetation, and propagation tables. The Company estimates each square foot of total canopy has the power to generate approximately half a pound of cannabis per year. All of the Company’s cultivation and planned cultivation facilities are indoor, with the exception of the 55,000 square foot greenhouse in Illinois. The Company believes that indoor grow facilities allow for fine-tuned controls which help enable AWH to grow high-quality cannabis. Most of the cultivation projects that are underway or planned are aimed at enhancing our cultivation facilities. The Company deems these as lower risk than green fielding at new sites that are not yet permitted for cultivation operations. Our cultivation projects are flexible and will ultimately depend on market conditions, local licensing, construction, and other regulatory permissions, and are subject to capital allocation decisions, the evolving regulatory environment, and general economic factors.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Square Feet of Canopy as</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Comments</w:t>
            </w:r>
          </w:p>
        </w:tc>
        <w:tc>
          <w:tcPr>
            <w:tcW w:w="0" w:type="dxa"/>
            <w:vAlign w:val="bottom"/>
          </w:tcPr>
          <w:p>
            <w:pPr>
              <w:spacing w:after="0"/>
              <w:rPr>
                <w:sz w:val="1"/>
                <w:szCs w:val="1"/>
                <w:color w:val="auto"/>
              </w:rPr>
            </w:pPr>
          </w:p>
        </w:tc>
      </w:tr>
      <w:tr>
        <w:trPr>
          <w:trHeight w:val="243"/>
        </w:trPr>
        <w:tc>
          <w:tcPr>
            <w:tcW w:w="1660" w:type="dxa"/>
            <w:vAlign w:val="bottom"/>
            <w:gridSpan w:val="2"/>
            <w:vMerge w:val="continue"/>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 December 31, 2025</w:t>
            </w:r>
          </w:p>
        </w:tc>
        <w:tc>
          <w:tcPr>
            <w:tcW w:w="7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Illinois</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110,000</w:t>
            </w:r>
          </w:p>
        </w:tc>
        <w:tc>
          <w:tcPr>
            <w:tcW w:w="80" w:type="dxa"/>
            <w:vAlign w:val="bottom"/>
            <w:tcBorders>
              <w:top w:val="single" w:sz="8" w:color="CCEEFF"/>
            </w:tcBorders>
            <w:shd w:val="clear" w:color="auto" w:fill="CCEEFF"/>
          </w:tcPr>
          <w:p>
            <w:pPr>
              <w:spacing w:after="0"/>
              <w:rPr>
                <w:sz w:val="14"/>
                <w:szCs w:val="14"/>
                <w:color w:val="auto"/>
              </w:rPr>
            </w:pPr>
          </w:p>
        </w:tc>
        <w:tc>
          <w:tcPr>
            <w:tcW w:w="74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Located in Barry, Illinois, the cultivation facility also has ethane and butane-based extraction</w:t>
            </w: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kitchen.</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Lansing, Michigan, the cultivation facility includes a kitchen.</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Massachusetts</w:t>
            </w: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70,000</w:t>
            </w:r>
          </w:p>
        </w:tc>
        <w:tc>
          <w:tcPr>
            <w:tcW w:w="80" w:type="dxa"/>
            <w:vAlign w:val="bottom"/>
            <w:shd w:val="clear" w:color="auto" w:fill="CCEEFF"/>
          </w:tcPr>
          <w:p>
            <w:pPr>
              <w:spacing w:after="0"/>
              <w:rPr>
                <w:sz w:val="15"/>
                <w:szCs w:val="15"/>
                <w:color w:val="auto"/>
              </w:rPr>
            </w:pPr>
          </w:p>
        </w:tc>
        <w:tc>
          <w:tcPr>
            <w:tcW w:w="7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Our cultivation facility located in Athol, Massachusetts has methane and butane-based extraction</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equipment. In January 2024, the Company entered into a definitive agreement to acquire a cultivation</w:t>
            </w: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a manufacturer license for use at a facility in Amesbury, MA where it has since added</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approximately 19,000 square feet of canopy as well as a lab and kitchen.</w:t>
            </w: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New Jersey</w:t>
            </w: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5"/>
                <w:szCs w:val="15"/>
                <w:color w:val="auto"/>
              </w:rPr>
            </w:pPr>
          </w:p>
        </w:tc>
        <w:tc>
          <w:tcPr>
            <w:tcW w:w="7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Located in Franklin, New Jersey, the cultivation facility has a lab and kitchen, as well as ethane</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extraction equipment.</w:t>
            </w:r>
          </w:p>
        </w:tc>
        <w:tc>
          <w:tcPr>
            <w:tcW w:w="0" w:type="dxa"/>
            <w:vAlign w:val="bottom"/>
          </w:tcPr>
          <w:p>
            <w:pPr>
              <w:spacing w:after="0"/>
              <w:rPr>
                <w:sz w:val="1"/>
                <w:szCs w:val="1"/>
                <w:color w:val="auto"/>
              </w:rPr>
            </w:pPr>
          </w:p>
        </w:tc>
      </w:tr>
      <w:tr>
        <w:trPr>
          <w:trHeight w:val="234"/>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20"/>
                <w:szCs w:val="20"/>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facility is located in Monroe, Ohio.</w:t>
            </w:r>
          </w:p>
        </w:tc>
        <w:tc>
          <w:tcPr>
            <w:tcW w:w="0" w:type="dxa"/>
            <w:vAlign w:val="bottom"/>
          </w:tcPr>
          <w:p>
            <w:pPr>
              <w:spacing w:after="0"/>
              <w:rPr>
                <w:sz w:val="1"/>
                <w:szCs w:val="1"/>
                <w:color w:val="auto"/>
              </w:rPr>
            </w:pPr>
          </w:p>
        </w:tc>
      </w:tr>
      <w:tr>
        <w:trPr>
          <w:trHeight w:val="234"/>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facility is located in Smithfield, Pennsylvania.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Dispensary Assets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AWH had 47 open and operating retail locations, which includes 9 retail partner locations. AWH anticipates expanding to 60 retail locations, including retail partner locations. New store opening plans are flexible and will ultimately depend on market conditions, local licensing, construction, and other regulatory permissions and, further, are subject to capital allocation decisions, the evolving regulatory environment, and general economic factors.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or Pending</w:t>
            </w:r>
          </w:p>
        </w:tc>
        <w:tc>
          <w:tcPr>
            <w:tcW w:w="4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Open Dispensaries as of</w:t>
            </w:r>
          </w:p>
        </w:tc>
        <w:tc>
          <w:tcPr>
            <w:tcW w:w="23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Dispensaries and Licenses as</w:t>
            </w:r>
          </w:p>
        </w:tc>
        <w:tc>
          <w:tcPr>
            <w:tcW w:w="4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360" w:type="dxa"/>
            <w:vAlign w:val="bottom"/>
            <w:gridSpan w:val="2"/>
            <w:vMerge w:val="continue"/>
          </w:tcPr>
          <w:p>
            <w:pPr>
              <w:spacing w:after="0"/>
              <w:rPr>
                <w:sz w:val="16"/>
                <w:szCs w:val="16"/>
                <w:color w:val="auto"/>
              </w:rPr>
            </w:pPr>
          </w:p>
        </w:tc>
        <w:tc>
          <w:tcPr>
            <w:tcW w:w="23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of</w:t>
            </w:r>
          </w:p>
        </w:tc>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Comments</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30"/>
        </w:trPr>
        <w:tc>
          <w:tcPr>
            <w:tcW w:w="1660" w:type="dxa"/>
            <w:vAlign w:val="bottom"/>
            <w:gridSpan w:val="2"/>
            <w:vMerge w:val="continue"/>
          </w:tcPr>
          <w:p>
            <w:pPr>
              <w:spacing w:after="0"/>
              <w:rPr>
                <w:sz w:val="19"/>
                <w:szCs w:val="19"/>
                <w:color w:val="auto"/>
              </w:rPr>
            </w:pPr>
          </w:p>
        </w:tc>
        <w:tc>
          <w:tcPr>
            <w:tcW w:w="236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6"/>
              </w:rPr>
              <w:t>December 31, 2025</w:t>
            </w:r>
            <w:r>
              <w:rPr>
                <w:rFonts w:ascii="Times New Roman" w:cs="Times New Roman" w:eastAsia="Times New Roman" w:hAnsi="Times New Roman"/>
                <w:sz w:val="23"/>
                <w:szCs w:val="23"/>
                <w:b w:val="1"/>
                <w:bCs w:val="1"/>
                <w:color w:val="auto"/>
                <w:w w:val="96"/>
                <w:vertAlign w:val="superscript"/>
              </w:rPr>
              <w:t>(1)</w:t>
            </w:r>
          </w:p>
        </w:tc>
        <w:tc>
          <w:tcPr>
            <w:tcW w:w="23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7"/>
              </w:rPr>
              <w:t>December 31, 2025</w:t>
            </w:r>
            <w:r>
              <w:rPr>
                <w:rFonts w:ascii="Times New Roman" w:cs="Times New Roman" w:eastAsia="Times New Roman" w:hAnsi="Times New Roman"/>
                <w:sz w:val="23"/>
                <w:szCs w:val="23"/>
                <w:b w:val="1"/>
                <w:bCs w:val="1"/>
                <w:color w:val="auto"/>
                <w:w w:val="97"/>
                <w:vertAlign w:val="superscript"/>
              </w:rPr>
              <w:t>(1)</w:t>
            </w:r>
          </w:p>
        </w:tc>
        <w:tc>
          <w:tcPr>
            <w:tcW w:w="4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Illinois</w:t>
            </w:r>
          </w:p>
        </w:tc>
        <w:tc>
          <w:tcPr>
            <w:tcW w:w="10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4"/>
                <w:szCs w:val="14"/>
                <w:color w:val="auto"/>
              </w:rPr>
            </w:pPr>
          </w:p>
        </w:tc>
        <w:tc>
          <w:tcPr>
            <w:tcW w:w="48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Six dispensaries in the Chicago area; two in Southern IL bordering</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Missouri; two near Springfield, IL. The state caps adult-use</w:t>
            </w: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dispensary licenses at ten stores per owner.</w:t>
            </w: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Maryland</w:t>
            </w: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15"/>
                <w:szCs w:val="15"/>
                <w:color w:val="auto"/>
              </w:rPr>
            </w:pPr>
          </w:p>
        </w:tc>
        <w:tc>
          <w:tcPr>
            <w:tcW w:w="4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One dispensary in each of Aberdeen, Crofton, Ellicott City, and</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Laurel. Each location holds a dual medical and adult-use license.</w:t>
            </w:r>
          </w:p>
        </w:tc>
        <w:tc>
          <w:tcPr>
            <w:tcW w:w="0" w:type="dxa"/>
            <w:vAlign w:val="bottom"/>
          </w:tcPr>
          <w:p>
            <w:pPr>
              <w:spacing w:after="0"/>
              <w:rPr>
                <w:sz w:val="1"/>
                <w:szCs w:val="1"/>
                <w:color w:val="auto"/>
              </w:rPr>
            </w:pPr>
          </w:p>
        </w:tc>
      </w:tr>
      <w:tr>
        <w:trPr>
          <w:trHeight w:val="180"/>
        </w:trPr>
        <w:tc>
          <w:tcPr>
            <w:tcW w:w="16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Massachusetts</w:t>
            </w:r>
          </w:p>
        </w:tc>
        <w:tc>
          <w:tcPr>
            <w:tcW w:w="22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5"/>
                <w:szCs w:val="15"/>
                <w:color w:val="auto"/>
              </w:rPr>
            </w:pPr>
          </w:p>
        </w:tc>
        <w:tc>
          <w:tcPr>
            <w:tcW w:w="48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One dispensary in downtown Boston; one in Newton; one in New</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Bedford. The state caps adult-use dispensary licenses at three</w:t>
            </w: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per owner.</w:t>
            </w:r>
          </w:p>
        </w:tc>
        <w:tc>
          <w:tcPr>
            <w:tcW w:w="0" w:type="dxa"/>
            <w:vAlign w:val="bottom"/>
          </w:tcPr>
          <w:p>
            <w:pPr>
              <w:spacing w:after="0"/>
              <w:rPr>
                <w:sz w:val="1"/>
                <w:szCs w:val="1"/>
                <w:color w:val="auto"/>
              </w:rPr>
            </w:pPr>
          </w:p>
        </w:tc>
      </w:tr>
      <w:tr>
        <w:trPr>
          <w:trHeight w:val="176"/>
        </w:trPr>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Michigan</w:t>
            </w: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5"/>
                <w:szCs w:val="15"/>
                <w:color w:val="auto"/>
              </w:rPr>
            </w:pPr>
          </w:p>
        </w:tc>
        <w:tc>
          <w:tcPr>
            <w:tcW w:w="4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Eight dispensaries throughout the state, including one that is</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branded as an outlet store. The Ann Arbor store subsequently</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closed in January 2026 and the Company is exploring potential</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 relocation.</w:t>
            </w:r>
          </w:p>
        </w:tc>
        <w:tc>
          <w:tcPr>
            <w:tcW w:w="0" w:type="dxa"/>
            <w:vAlign w:val="bottom"/>
          </w:tcPr>
          <w:p>
            <w:pPr>
              <w:spacing w:after="0"/>
              <w:rPr>
                <w:sz w:val="1"/>
                <w:szCs w:val="1"/>
                <w:color w:val="auto"/>
              </w:rPr>
            </w:pPr>
          </w:p>
        </w:tc>
      </w:tr>
      <w:tr>
        <w:trPr>
          <w:trHeight w:val="175"/>
        </w:trPr>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Jersey</w:t>
            </w:r>
          </w:p>
        </w:tc>
        <w:tc>
          <w:tcPr>
            <w:tcW w:w="22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5"/>
                <w:szCs w:val="15"/>
                <w:color w:val="auto"/>
              </w:rPr>
            </w:pPr>
          </w:p>
        </w:tc>
        <w:tc>
          <w:tcPr>
            <w:tcW w:w="4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One dispensary in Rochelle Park; one in Wharton; one in Fort</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Lee. The state caps adult-use dispensary licenses at three stores</w:t>
            </w: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owner.</w:t>
            </w: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Ohio</w:t>
            </w: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5"/>
                <w:szCs w:val="15"/>
                <w:color w:val="auto"/>
              </w:rPr>
            </w:pPr>
          </w:p>
        </w:tc>
        <w:tc>
          <w:tcPr>
            <w:tcW w:w="4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Five dispensaries throughout the state, of which two are branded</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as outlet stores. Two</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7"/>
                <w:szCs w:val="17"/>
                <w:color w:val="auto"/>
              </w:rPr>
              <w:t xml:space="preserve"> additional dispensaries are under</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are expected to open in 2026.</w:t>
            </w:r>
          </w:p>
        </w:tc>
        <w:tc>
          <w:tcPr>
            <w:tcW w:w="0" w:type="dxa"/>
            <w:vAlign w:val="bottom"/>
          </w:tcPr>
          <w:p>
            <w:pPr>
              <w:spacing w:after="0"/>
              <w:rPr>
                <w:sz w:val="1"/>
                <w:szCs w:val="1"/>
                <w:color w:val="auto"/>
              </w:rPr>
            </w:pPr>
          </w:p>
        </w:tc>
      </w:tr>
      <w:tr>
        <w:trPr>
          <w:trHeight w:val="180"/>
        </w:trPr>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Pennsylvania</w:t>
            </w:r>
          </w:p>
        </w:tc>
        <w:tc>
          <w:tcPr>
            <w:tcW w:w="2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5"/>
                <w:szCs w:val="15"/>
                <w:color w:val="auto"/>
              </w:rPr>
            </w:pPr>
          </w:p>
        </w:tc>
        <w:tc>
          <w:tcPr>
            <w:tcW w:w="22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5"/>
                <w:szCs w:val="15"/>
                <w:color w:val="auto"/>
              </w:rPr>
            </w:pP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One dispensary in each of Cranberry, Monaca, Scranton, Wayne,</w:t>
            </w:r>
          </w:p>
        </w:tc>
        <w:tc>
          <w:tcPr>
            <w:tcW w:w="0" w:type="dxa"/>
            <w:vAlign w:val="bottom"/>
          </w:tcPr>
          <w:p>
            <w:pPr>
              <w:spacing w:after="0"/>
              <w:rPr>
                <w:sz w:val="1"/>
                <w:szCs w:val="1"/>
                <w:color w:val="auto"/>
              </w:rPr>
            </w:pPr>
          </w:p>
        </w:tc>
      </w:tr>
      <w:tr>
        <w:trPr>
          <w:trHeight w:val="204"/>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and Whitehall which are branded as outlet stores. One additional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6420"/>
        <w:spacing w:after="0"/>
        <w:rPr>
          <w:sz w:val="20"/>
          <w:szCs w:val="20"/>
          <w:color w:val="auto"/>
        </w:rPr>
      </w:pPr>
      <w:r>
        <w:rPr>
          <w:rFonts w:ascii="Times New Roman" w:cs="Times New Roman" w:eastAsia="Times New Roman" w:hAnsi="Times New Roman"/>
          <w:sz w:val="18"/>
          <w:szCs w:val="18"/>
          <w:color w:val="auto"/>
        </w:rPr>
        <w:t>dispensary is under construction and is expected to open in 2026.</w:t>
      </w:r>
    </w:p>
    <w:p>
      <w:pPr>
        <w:spacing w:after="0" w:line="16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pending acquisitions and excludes retail partner locations.</w:t>
      </w:r>
    </w:p>
    <w:p>
      <w:pPr>
        <w:spacing w:after="0" w:line="57"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Forward-Looking Statements.</w:t>
      </w:r>
      <w:r>
        <w:rPr>
          <w:rFonts w:ascii="Times New Roman" w:cs="Times New Roman" w:eastAsia="Times New Roman" w:hAnsi="Times New Roman"/>
          <w:sz w:val="16"/>
          <w:szCs w:val="16"/>
          <w:color w:val="auto"/>
        </w:rPr>
        <w:t>”</w:t>
      </w:r>
    </w:p>
    <w:p>
      <w:pPr>
        <w:spacing w:after="0" w:line="71" w:lineRule="exact"/>
        <w:rPr>
          <w:rFonts w:ascii="Times New Roman" w:cs="Times New Roman" w:eastAsia="Times New Roman" w:hAnsi="Times New Roman"/>
          <w:sz w:val="21"/>
          <w:szCs w:val="21"/>
          <w:color w:val="auto"/>
          <w:vertAlign w:val="superscript"/>
        </w:rPr>
      </w:pPr>
    </w:p>
    <w:p>
      <w:pPr>
        <w:ind w:left="320" w:hanging="312"/>
        <w:spacing w:after="0" w:line="224"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licenses are under agreement to be acquired by AWH following the commencement of operations. Transfer of ownership is subject to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chart summarizes the U.S. states in which we hold cannabis licenses as of December 31, 2025, including the type of activity authorized (adult-use and/or medical), the number of dispensary, cultivation and other licenses held by each entity, and whether such entity operates active dispensary or cultivation/processing facilities. Each of the following entities are considered to be directly engaged in the cultivation or distribution of cannabis pursuant to applicable state law and the licenses issued to them.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Cultivation/</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Operational</w:t>
            </w:r>
          </w:p>
        </w:tc>
      </w:tr>
      <w:tr>
        <w:trPr>
          <w:trHeight w:val="203"/>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Cultivation/</w:t>
            </w:r>
          </w:p>
        </w:tc>
      </w:tr>
      <w:tr>
        <w:trPr>
          <w:trHeight w:val="189"/>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Adult-Use/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Dispensary</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Operational</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Processing</w:t>
            </w:r>
          </w:p>
        </w:tc>
      </w:tr>
      <w:tr>
        <w:trPr>
          <w:trHeight w:val="245"/>
        </w:trPr>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80" w:type="dxa"/>
            <w:vAlign w:val="bottom"/>
            <w:tcBorders>
              <w:bottom w:val="single" w:sz="8" w:color="CCEEFF"/>
            </w:tcBorders>
          </w:tcPr>
          <w:p>
            <w:pPr>
              <w:spacing w:after="0"/>
              <w:rPr>
                <w:sz w:val="21"/>
                <w:szCs w:val="21"/>
                <w:color w:val="auto"/>
              </w:rPr>
            </w:pPr>
          </w:p>
        </w:tc>
        <w:tc>
          <w:tcPr>
            <w:tcW w:w="31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Medical</w:t>
            </w: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Licenses</w:t>
            </w:r>
            <w:r>
              <w:rPr>
                <w:rFonts w:ascii="Times New Roman" w:cs="Times New Roman" w:eastAsia="Times New Roman" w:hAnsi="Times New Roman"/>
                <w:sz w:val="21"/>
                <w:szCs w:val="21"/>
                <w:b w:val="1"/>
                <w:bCs w:val="1"/>
                <w:color w:val="auto"/>
                <w:w w:val="94"/>
                <w:vertAlign w:val="superscript"/>
              </w:rPr>
              <w:t>(1)</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Dispensaries</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Facilities</w:t>
            </w:r>
          </w:p>
        </w:tc>
      </w:tr>
      <w:tr>
        <w:trPr>
          <w:trHeight w:val="217"/>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HealthCentral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Revolution Cannabis-Barry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80" w:type="dxa"/>
            <w:vAlign w:val="bottom"/>
          </w:tcPr>
          <w:p>
            <w:pPr>
              <w:spacing w:after="0"/>
              <w:rPr>
                <w:sz w:val="19"/>
                <w:szCs w:val="19"/>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35"/>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4"/>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MOCA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Chicago Alternative Health Center,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4"/>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Homecoming Group,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Inlabs III,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Blu Pharms,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Blue Mountain Care,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Durjaya,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6"/>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Farmalogics Health and Wellness,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0"/>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MassGrow,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r>
        <w:trPr>
          <w:trHeight w:val="222"/>
        </w:trPr>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Ascend Mass,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Southcoast Apothecary,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6"/>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42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FPAW Michigan,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32"/>
                <w:szCs w:val="32"/>
                <w:color w:val="auto"/>
                <w:w w:val="81"/>
                <w:vertAlign w:val="subscript"/>
              </w:rPr>
              <w:t>15</w:t>
            </w:r>
            <w:r>
              <w:rPr>
                <w:rFonts w:ascii="Times New Roman" w:cs="Times New Roman" w:eastAsia="Times New Roman" w:hAnsi="Times New Roman"/>
                <w:sz w:val="11"/>
                <w:szCs w:val="11"/>
                <w:color w:val="auto"/>
                <w:w w:val="81"/>
              </w:rPr>
              <w:t>(2)</w:t>
            </w:r>
          </w:p>
        </w:tc>
        <w:tc>
          <w:tcPr>
            <w:tcW w:w="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32"/>
        </w:trPr>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TJM Enterprises,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6"/>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Ascend New Jersey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35"/>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4"/>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BCCO,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 Cannabis Clinic,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6"/>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Hemma,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36"/>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Marichron Pharma,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Pr>
          <w:p>
            <w:pPr>
              <w:spacing w:after="0"/>
              <w:rPr>
                <w:sz w:val="19"/>
                <w:szCs w:val="19"/>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36"/>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 Patient Access,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6"/>
        </w:trPr>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42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OPA Englewood,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32"/>
                <w:szCs w:val="32"/>
                <w:color w:val="auto"/>
                <w:w w:val="84"/>
                <w:vertAlign w:val="subscript"/>
              </w:rPr>
              <w:t>1</w:t>
            </w:r>
            <w:r>
              <w:rPr>
                <w:rFonts w:ascii="Times New Roman" w:cs="Times New Roman" w:eastAsia="Times New Roman" w:hAnsi="Times New Roman"/>
                <w:sz w:val="11"/>
                <w:szCs w:val="11"/>
                <w:color w:val="auto"/>
                <w:w w:val="84"/>
              </w:rPr>
              <w:t>(3)</w:t>
            </w:r>
          </w:p>
        </w:tc>
        <w:tc>
          <w:tcPr>
            <w:tcW w:w="10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2"/>
        </w:trPr>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439"/>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OPA East Powell Road, LLC</w:t>
            </w:r>
          </w:p>
        </w:tc>
        <w:tc>
          <w:tcPr>
            <w:tcW w:w="1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32"/>
                <w:szCs w:val="32"/>
                <w:color w:val="auto"/>
                <w:w w:val="84"/>
                <w:vertAlign w:val="subscript"/>
              </w:rPr>
              <w:t>1</w:t>
            </w:r>
            <w:r>
              <w:rPr>
                <w:rFonts w:ascii="Times New Roman" w:cs="Times New Roman" w:eastAsia="Times New Roman" w:hAnsi="Times New Roman"/>
                <w:sz w:val="11"/>
                <w:szCs w:val="11"/>
                <w:color w:val="auto"/>
                <w:w w:val="84"/>
              </w:rPr>
              <w:t>(3)</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Story of PA,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36"/>
        </w:trPr>
        <w:tc>
          <w:tcPr>
            <w:tcW w:w="13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17"/>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w:t>
            </w:r>
          </w:p>
        </w:tc>
      </w:tr>
      <w:tr>
        <w:trPr>
          <w:trHeight w:val="260"/>
        </w:trPr>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right="120" w:hanging="332"/>
        <w:spacing w:after="0" w:line="239"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numbers set forth in this column represent the number of unique licenses issued to the entities, whether medical or adult use or otherwise, and do not represent the number of dispensaries actually operated by such entities, which information is set forth in the “Operational Dispensaries” column. AWH complies with state limitations on the number of dispensaries that can be owned and operated by licensed entities. AWH complies with applicable state limitations on the number of dispensaries that may be owned or operated by licensed entities. The table excludes licenses held by our retail partner locations.</w:t>
      </w:r>
    </w:p>
    <w:p>
      <w:pPr>
        <w:sectPr>
          <w:pgSz w:w="11900" w:h="16838" w:orient="portrait"/>
          <w:cols w:equalWidth="0" w:num="1">
            <w:col w:w="11240"/>
          </w:cols>
          <w:pgMar w:left="320" w:top="1440" w:right="339" w:bottom="0" w:gutter="0" w:footer="0" w:header="0"/>
        </w:sectPr>
      </w:pPr>
    </w:p>
    <w:bookmarkStart w:id="18" w:name="page19"/>
    <w:bookmarkEnd w:id="18"/>
    <w:p>
      <w:pPr>
        <w:ind w:left="332" w:hanging="332"/>
        <w:spacing w:after="0" w:line="225"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voluntary closure of stacked grow licenses. Voluntary closure of individual stacked licenses reduces plant capacity but does not otherwise affect premises approval.</w:t>
      </w:r>
    </w:p>
    <w:p>
      <w:pPr>
        <w:spacing w:after="0" w:line="100" w:lineRule="exact"/>
        <w:rPr>
          <w:rFonts w:ascii="Times New Roman" w:cs="Times New Roman" w:eastAsia="Times New Roman" w:hAnsi="Times New Roman"/>
          <w:sz w:val="21"/>
          <w:szCs w:val="21"/>
          <w:color w:val="auto"/>
          <w:vertAlign w:val="superscript"/>
        </w:rPr>
      </w:pPr>
    </w:p>
    <w:p>
      <w:pPr>
        <w:ind w:left="332" w:hanging="332"/>
        <w:spacing w:after="0" w:line="225"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dispensary licenses managed under management services agreements and expected to be acquired by the Company; transfer of ownership is subject to regulatory approval. Subsequent to December 31, 2025, operations commenced at the Englewood, Ohio dispensary.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6"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primarily competes with:</w:t>
      </w:r>
    </w:p>
    <w:p>
      <w:pPr>
        <w:spacing w:after="0" w:line="167" w:lineRule="exact"/>
        <w:rPr>
          <w:sz w:val="20"/>
          <w:szCs w:val="20"/>
          <w:color w:val="auto"/>
        </w:rPr>
      </w:pPr>
    </w:p>
    <w:p>
      <w:pPr>
        <w:jc w:val="both"/>
        <w:ind w:left="660" w:hanging="328"/>
        <w:spacing w:after="0" w:line="26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Multi-State Operators (“MSOs”). </w:t>
      </w:r>
      <w:r>
        <w:rPr>
          <w:rFonts w:ascii="Times New Roman" w:cs="Times New Roman" w:eastAsia="Times New Roman" w:hAnsi="Times New Roman"/>
          <w:sz w:val="18"/>
          <w:szCs w:val="18"/>
          <w:color w:val="auto"/>
        </w:rPr>
        <w:t>AWH competes with MSOs from a retail and wholesale perspective, including Trulieve Cannabis Corp., Jushi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 Inc., Verano Holdings Corp., Cresco Labs Inc., Green Thumb Industries Inc., Curaleaf Holdings Inc., TerrAscend Corp., and Ayr Wellness Inc, among others. The specific competitors vary for each state of AWH’s operations. For example, Cresco is AWH’s primary wholesale competitor in Illinois, but not as big of a wholesale competitor in New Jersey.</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Single State Operators (“SSOs”). </w:t>
      </w:r>
      <w:r>
        <w:rPr>
          <w:rFonts w:ascii="Times New Roman" w:cs="Times New Roman" w:eastAsia="Times New Roman" w:hAnsi="Times New Roman"/>
          <w:sz w:val="18"/>
          <w:szCs w:val="18"/>
          <w:color w:val="auto"/>
        </w:rPr>
        <w:t>AWH competes with many single state operators across its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Equity Operators (“SEOs”). </w:t>
      </w:r>
      <w:r>
        <w:rPr>
          <w:rFonts w:ascii="Times New Roman" w:cs="Times New Roman" w:eastAsia="Times New Roman" w:hAnsi="Times New Roman"/>
          <w:sz w:val="18"/>
          <w:szCs w:val="18"/>
          <w:color w:val="auto"/>
        </w:rPr>
        <w:t>AWH competes with SEOs in accordance to state-driven regulations.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Packaged Goods Companies (“CPG Companies”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Although not a competitive threat today, AWH anticipates CPG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gaining a larger presence in the industry if and when cannabis is rendered federally legal.</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Pharmaceutical Companies. </w:t>
      </w:r>
      <w:r>
        <w:rPr>
          <w:rFonts w:ascii="Times New Roman" w:cs="Times New Roman" w:eastAsia="Times New Roman" w:hAnsi="Times New Roman"/>
          <w:sz w:val="18"/>
          <w:szCs w:val="18"/>
          <w:color w:val="auto"/>
        </w:rPr>
        <w:t>Although not a competitive threat today, AWH anticipates pharmaceutical companies gaining a larger presence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if and when cannabis is rendered federally legal.</w:t>
      </w:r>
    </w:p>
    <w:p>
      <w:pPr>
        <w:spacing w:after="0" w:line="10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it is well-poised in its competitive positioning due to the competitive advantages highlighted below:</w:t>
      </w:r>
    </w:p>
    <w:p>
      <w:pPr>
        <w:spacing w:after="0" w:line="16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 and vertical integration. </w:t>
      </w:r>
      <w:r>
        <w:rPr>
          <w:rFonts w:ascii="Times New Roman" w:cs="Times New Roman" w:eastAsia="Times New Roman" w:hAnsi="Times New Roman"/>
          <w:sz w:val="18"/>
          <w:szCs w:val="18"/>
          <w:color w:val="auto"/>
        </w:rPr>
        <w:t>The Company’s scale helps it compete, particularly, against the SSOs who may not be able to obtain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synergies that AWH can. AWH is vertically integrated in six of its seven states of operation and focuses on markets where it seeks to achieve leading market share positions over time.</w:t>
      </w:r>
    </w:p>
    <w:p>
      <w:pPr>
        <w:spacing w:after="0" w:line="11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Access to capital. </w:t>
      </w:r>
      <w:r>
        <w:rPr>
          <w:rFonts w:ascii="Times New Roman" w:cs="Times New Roman" w:eastAsia="Times New Roman" w:hAnsi="Times New Roman"/>
          <w:sz w:val="18"/>
          <w:szCs w:val="18"/>
          <w:color w:val="auto"/>
        </w:rPr>
        <w:t>The Company’s access to capital helps it compete, particularly, against the SSOs who may not have the resources that AWH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AWH management has also been able to leverage its extensive capital markets knowledge to access capital through a combination of public and private market transactions and operating cash flow, while actively managing its capital structure in light of industry conditions.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States of operation. </w:t>
      </w:r>
      <w:r>
        <w:rPr>
          <w:rFonts w:ascii="Times New Roman" w:cs="Times New Roman" w:eastAsia="Times New Roman" w:hAnsi="Times New Roman"/>
          <w:sz w:val="18"/>
          <w:szCs w:val="18"/>
          <w:color w:val="auto"/>
        </w:rPr>
        <w:t>With the exception of Michigan, all of AWH’s states of operation are limited license.</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Management. </w:t>
      </w:r>
      <w:r>
        <w:rPr>
          <w:rFonts w:ascii="Times New Roman" w:cs="Times New Roman" w:eastAsia="Times New Roman" w:hAnsi="Times New Roman"/>
          <w:sz w:val="18"/>
          <w:szCs w:val="18"/>
          <w:color w:val="auto"/>
        </w:rPr>
        <w:t>AWH has a diverse management team with experience spanning capital markets, cannabis industry, regulatory, and operations.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team has proven it can lead, by becoming a top-tier operator in Illinois, Massachusetts, and New Jersey.</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Location and second mover advantage. </w:t>
      </w:r>
      <w:r>
        <w:rPr>
          <w:rFonts w:ascii="Times New Roman" w:cs="Times New Roman" w:eastAsia="Times New Roman" w:hAnsi="Times New Roman"/>
          <w:sz w:val="18"/>
          <w:szCs w:val="18"/>
          <w:color w:val="auto"/>
        </w:rPr>
        <w:t>While many competitors who were early entrants to the space were pushed into industrial parks or off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beaten path, AWH locations can often be found on the corner of Main &amp; Main, surrounded by other top tier businesses such as Trader Joe’s &amp; Starbucks. This is because AWH entered the business slightly later than some of its peers. In doing so, the Company strategically acquired locations, rather than pursuing a lottery strategy to obtain licenses. AWH was able to use its ‘second-mover advantage’ to secure highly desirable retail locations, many of which it considers to be flagship stores.</w:t>
      </w:r>
    </w:p>
    <w:p>
      <w:pPr>
        <w:spacing w:after="0" w:line="12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portfolio of brands. </w:t>
      </w:r>
      <w:r>
        <w:rPr>
          <w:rFonts w:ascii="Times New Roman" w:cs="Times New Roman" w:eastAsia="Times New Roman" w:hAnsi="Times New Roman"/>
          <w:sz w:val="18"/>
          <w:szCs w:val="18"/>
          <w:color w:val="auto"/>
        </w:rPr>
        <w:t>AWH provides a robust offering and a wide range of branded products spanning every price point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targeted to every demographic.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Government Regulation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February 8, 2018, the Canadian Securities Administrators revised their previously released Staff Notice 51-352 – </w:t>
      </w:r>
      <w:r>
        <w:rPr>
          <w:rFonts w:ascii="Times New Roman" w:cs="Times New Roman" w:eastAsia="Times New Roman" w:hAnsi="Times New Roman"/>
          <w:sz w:val="18"/>
          <w:szCs w:val="18"/>
          <w:i w:val="1"/>
          <w:iCs w:val="1"/>
          <w:color w:val="auto"/>
        </w:rPr>
        <w:t xml:space="preserve">Issuers with U.S. Marijuana-Related Activities </w:t>
      </w:r>
      <w:r>
        <w:rPr>
          <w:rFonts w:ascii="Times New Roman" w:cs="Times New Roman" w:eastAsia="Times New Roman" w:hAnsi="Times New Roman"/>
          <w:sz w:val="18"/>
          <w:szCs w:val="18"/>
          <w:color w:val="auto"/>
        </w:rPr>
        <w:t>(“Staff Notice 51-352”), which provides specific disclosure expectations for issuers that currently have, or are in the process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cannabis related activities in the United States as permitted within a particular State’s regulatory framework. In accordance with the Staff Notice 51-352, the following section describes the U.S. federal and state regulatory frameworks applicable to the jurisdictions in which we operate through our subsidiaries. Certain of our subsidiaries and retail partner locations, which are third-party licensed operators with which we have contractual relationships, are directly engaged in the manufacture, possession, sale, or distribution of cannabis in the adult-use and/or medical cannabis marketplace in the states of Illinois, Maryland, Massachusetts, Michigan, New Jersey, Ohio, and Pennsylvania. We evaluate, monitor, and reassess this disclosure, and any related risks, on an ongoing basis and intend to update our public filings, as appropriate, in the event of material government policy changes or the introduction of new or amended guidance, laws, or regulations regarding cannabis. We intend to promptly address any material known occurrences of non-compliance with applicable state and local cannabis rules and regulations, and intend to publicly disclose any material non-compliance, citations, or notices of violation which may have an impact on our licenses, business activities, or operations. We regularly consult with legal counsel regarding our compliance with applicable state regulatory frameworks in the states of Illinois, Maryland, Massachusetts, Michigan, New Jersey, Ohio, and Pennsylvania, as well as the potential risks and implications arising under U.S. federal law. We receive such guidance on an ongoing basis; however, we have not obtained, and do not rely on, any formal legal opinion regarding these matters.</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U.S. federal government regulates controlled substances under the Controlled Substances Act (21 U.S.C. § 811) (the “CSA”), which classifies drugs and other substances into five schedules based on their potential for abuse, accepted medical use, and safety profile. Cannabis is classified as a Schedule I controlled substance. The CSA explicitly prohibits the manufacturing, distribution, selling, and possession of cannabis and cannabis-derived products as a consequence of its Schedule I classification. Classification of substances under the CSA is determined jointly by the United States Drug Enforcement Administration (the “DEA”) and the United States Food and Drug Administration (the “FDA”). While certain cannabis-derived compounds have been approved by the FDA for limited medical uses, cannabis itself has not been approved by the FDA as a safe and effective drug for general medical use. Moreover, under the Agriculture Improvement Act of 2018, “hemp” was removed from the definition of marijuana under the CSA. Hemp is defined as cannabis with a tetrahydrocannabinol (“THC”) concentration of less than 0.3% on a dry weight basis. Cannabis containing THC in excess of this threshold remains classified as a Schedule I controlled substance under the CSA.</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Unlike in Canada, where federal legislation uniformly governs the cultivation, distribution, sale, and possession of medical and adult-use cannabis under the Cannabis Act, S.C. 2018, c. 16, and the Cannabis for Medical Purposes Regulations, cannabis is largely regulated at the state level in the United States. A majority of U.S. states and the District of Columbia have enacted laws permitting the medical use of cannabis, and a substantial and growing number of states have legalized cannabis for adult-use purposes. Other states have enacted more limited medical cannabis frameworks, including low-THC or high-CBD programs.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are in direct conflict with the CSA, which classifies cannabis as a Schedule I controlled substance under U.S. federal law. As a result, notwithstanding state-level authorization, the manufacture, distribution, possession and sale of cannabis remain illegal under U.S. federal law. The Supremacy Clause of the U.S. Constitution establishes that federal law generally preempts conflicting state law. Accordingly, compliance with applicable state and local cannabis laws does not eliminate the risk of federal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United States Department of Justice (the “DOJ”) defines Schedule I drugs and substances as drugs with no currently accepted medical use, a high potential for abuse, and a lack of accepted safety for use under medical supervision.</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2013, the DOJ issued guidance addressing the inconsistent treatment of cannabis under state and federal law (commonly known as the “Cole Memorandum”), which outlined certain federal enforcement priorities relating to cannabis offenses. The Cole Memorandum acknowledged that, notwithstanding the designation of cannabis as a Schedule I controlled substance at the federal level, several states had enacted laws authorizing the use of cannabis for medical or adult-use purposes, and stated that conduct in compliance with robust state regulatory systems was less likely to implicate federal enforcement priorities. The DOJ did not provide, and has not provided since, specific guidelines for what regulatory and enforcement systems would be deemed sufficient under the Cole Memorandum.</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4, 2018, former Attorney General Jeff Sessions issued the Sessions Memorandum, which rescinded the Cole Memorandum effective upon its issuance. The Sessions Memorandum stated, in part, that current law reflects “Congress’ determination that cannabis is a dangerous drug and cannabis activity is a serious crime,” and directed U.S. Attorneys to enforce federal law consistent with established prosecutorial principles. Since the rescission of the Cole Memorandum, the DOJ has not issued binding guidance establishing federal enforcement priorities with respect to state-legal cannabis activities, and federal prosecutors retain discretion in determining whether to pursue enforcement actions. As a result, the extent to which U.S. federal laws relating to cannabis may be enforced, notwithstanding compliance with applicable state and local laws, remains uncertain.</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and until Congress amends the CSA with respect to cannabis, cannabis remains classified as a Schedule I controlled substance under U.S. federal law. As a result, federal authorities retain the authority to enforce federal law with respect to the manufacture, distribution, possession, and sale of cannabis, even where such activities are permitted under state law. The impact of the rescission of the Cole Memorandum and the issuance of the Sessions Memorandum on federal cannabis enforcement practices remains uncertain, and there can be no assurance as to the extent or manner in which U.S. federal laws relating to cannabis may be enforced in the future. While various legislative proposals have been introduced from time to time that could address the conflict between federal and state cannabis laws, including proposals relating to rescheduling or descheduling cannabis, banking access for cannabis-related businesses, or broader federal reform, there can be no assurance as to the timing, scope, or likelihood of any such legislative action.</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financial institutions may face heightened legal and regulatory risk when providing services to cannabis-related businesses, including potential exposure under federal anti-money laundering statutes, because cannabis remains classified as a Schedule I controlled substance under the Controlled Substances Act. As a result, many banks and other financial institutions, particularly those that are federally chartered in the United States, are reluctant to provide banking or other financial services to cannabis businesses. Canadian financial institutions have similarly exercised caution in their dealings with cannabis companies with U.S. operations due to the evolving legal and regulatory framework of the industry. While Congress is considering legislation that may address these issues, there can be no assurance of the content of any proposed legislation or that such legislation is ever passed.</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2014, the U.S. Department of the Treasury’s United States Financial Crimes Enforcement Network (“FinCEN”) issued a memorandum (the “FinCEN Memorandum”) outlining guidance for financial institutions seeking to provide bank services to state-sanctioned cannabis businesses. Although this guidance was originally issued in connection with federal enforcement priorities articulated at that time, the FinCEN guidance remains in effect. The FinCEN guidance, however, does not provide a safe harbor from federal prosecution or eliminate the legal and regulatory risks associated with providing banking services to cannabis-related businesses. Accordingly, access to traditional banking services remains limited for many participants in the cannabis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fiscal year 2015, Congress has included an appropriations rider (commonly referred to as the “Rohrabacher/Blumenauer Amendment”) that restricts the DOJ from using certain appropriated funds to prevent states from implementing their own laws authorizing the use, distribution, possession, or cultivation of medical cannabis. This appropriations rider does not legalize cannabis under U.S. federal law and must be renewed periodically as part of the federal appropriations process. There can be no assurance that this rider will be included in future appropriations legislation.</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this appropriations rider, cannabis remains illegal under U.S. federal law, and federal authorities retain discretion to enforce federal cannabis laws, including with respect to state-legal cannabis activities. Compliance with applicable state and local cannabis laws and regulations does not eliminate the risk of federal enforcement, and the scope, timing, and nature of any such enforcement actions remain uncertain.</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various legislative and regulatory proposals have been introduced from time to time that could address the conflict between federal and state cannabis laws, including proposals relating to cannabis scheduling, banking access for cannabis-related businesses, or broader federal reform. None of these proposals have been enacted, and there can be no assurance as to the timing, scope, or likelihood of any federal legislative or regulatory action, or as to the impact any such action may have on the Company’s business or the cannabis industry more generally.</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2025, the President of the United States issued an executive order titled Increasing Medical Marijuana and Cannabidiol Research, directing the Attorney General and other federal agencies to complete and, where appropriate, expedite the administrative rulemaking process to reconsider marijuana’s classification under the CSA, including potential rescheduling from Schedule I to Schedule III. The executive order does not amend the CSA or otherwise change marijuana’s current classification as a Schedule I controlled substance. Any change in scheduling would require formal rulemaking by the DOJ, acting through the DEA, in accordance with applicable federal law. There can be no assurance as to the timing, scope, or outcome of any such rulemaking or its impact on the Company’s business.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and until marijuana is rescheduled through final rulemaking or Congress amends the CSA, cannabis remains classified as a Schedule I controlled substance under U.S. federal law, and federal authorities retain discretion to enforce the CSA notwithstanding compliance with state laws permitting medical or adult-use cannabis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Applicable State Laws in the United States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implemented compliance programs designed to promote compliance with the cannabis licensing requirements and regulatory frameworks applicable in each U.S. state in which we operate. Our compliance framework includes internal legal and regulatory personnel, dedicated compliance personnel, and oversight by senior management, including our Senior Vice President of Compliance, as part of our overall governance and risk management processes. We also engage external state and local regulatory and compliance counsel in each jurisdiction in which we operate to assist with monitoring and interpreting applicable laws, regulations, and regulatory guidance.</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compliance programs are designed to address, among other things, licensing requirements, security and inventory controls, employee training, product handling, and regulatory reporting and inspections. We provide ongoing training to relevant employees tailored to their roles and responsibilities and maintain policies and procedures intended to promote adherence to applicable state and local cannabis laws and regulations. We also monitor regulatory developments and compliance communications from state and local authorities and periodically review and assess our compliance programs to address evolving regulatory requirements and operational risks, and seek to address identified issues in a timely manner.</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While we believe that our operations are in material compliance with applicable state and local cannabis laws, regulations, and licensing requirements, cannabis remains illegal under U.S. federal law. Compliance with state and local law does not eliminate the risk of federal enforcement or other risks associated with our business, including those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Cannabis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risk of federal enforcement and other risks associated with our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To the knowledge of management, other than as disclosed in this Annual Report on Form 10-K, there have not been any statements or guidance made by federal authorities or prosecutors regarding the risk of enforcement action in the states which we operate. See “</w:t>
      </w:r>
      <w:r>
        <w:rPr>
          <w:rFonts w:ascii="Times New Roman" w:cs="Times New Roman" w:eastAsia="Times New Roman" w:hAnsi="Times New Roman"/>
          <w:sz w:val="18"/>
          <w:szCs w:val="18"/>
          <w:i w:val="1"/>
          <w:iCs w:val="1"/>
          <w:color w:val="auto"/>
        </w:rPr>
        <w:t>Risk Factors - U.S. state regulation of cannabis is uncertain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thesis that distributing brands at scale will win, we enter markets where we believe that we can profitably and sustainably operate and command significant market share, and thus maximize consumer and brand awareness. The regulatory frameworks enacted by the states, which are similar to the limited and controlled issuance of gaming or alcohol distributorship licenses, provide a macro-level indication of whether certain state markets will be sustainable and profitable.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overview of the regulatory and competitive frameworks in each of our operating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Illinois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Regulatory Landscape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Illinois has legalized both medical and adult-use of cannabis. In January 2014, the Compassionate Use of Medical Cannabis Pilot Program Act (“MCPP”), which allows individuals diagnosed with certain debilitating or “qualified” medical conditions to access medical cannabis, became effective. The medical program is currently administered under the MCPP and the pilot designation has been removed.</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2019, Illinois legalized adult-use cannabis pursuant to the Cannabis Regulation and Tax Act (the “CRTA”). The CRTA imposes several operational requirements on adult-use licensees and requires prospective licensees to demonstrate their plans to comply with such requirements. For example, applicants for dispensary licenses must include an employee training plan, a security plan, recordkeeping and inventory plans, a quality control plan, and an operating plan.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Licensees must establish methods for identifying, recording, and reporting diversion, theft, or loss, correcting inventory errors, and complying with product recalls. Licensees also must comply with detailed inventory, storage, and security requirements. Cultivation licenses are subject to similar operational requirements, such as complying with detailed security and storage requirements, and must also establish plans to address energy, water, and waste-management needs.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Licenses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hemp licenses, Illinois licenses four types of cannabis businesses within the state: (1) cultivation; (2) processing; (3) transportation; and (4) dispensary. All cultivation, craft grower, infuser, and transporter establishments must register with the Illinois Department of Agriculture. All dispensaries must register with the Illinois Department of Financial and Professional Regulation (“IDFPR”). If applications contain all required information, establishments are issued a cannabis establishment license. Medical dispensary, medical and adult-use cultivation, processing, and transportation licenses are valid for a period of one year and are subject to strict annual renewal requirements. Adult-use dispensary licenses are valid for a period of two years and are subject to strict biannual renewal requirements. Renewal applications may be denied if the licensee has a history of non-compliance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Illinois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Expiration Date /</w:t>
            </w:r>
          </w:p>
        </w:tc>
        <w:tc>
          <w:tcPr>
            <w:tcW w:w="2140" w:type="dxa"/>
            <w:vAlign w:val="bottom"/>
          </w:tcPr>
          <w:p>
            <w:pPr>
              <w:spacing w:after="0"/>
              <w:rPr>
                <w:sz w:val="17"/>
                <w:szCs w:val="17"/>
                <w:color w:val="auto"/>
              </w:rPr>
            </w:pPr>
          </w:p>
        </w:tc>
      </w:tr>
      <w:tr>
        <w:trPr>
          <w:trHeight w:val="238"/>
        </w:trPr>
        <w:tc>
          <w:tcPr>
            <w:tcW w:w="332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1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1503060627</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03/09/2027</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Cultivation License</w:t>
            </w: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Revolution Cannabis-Barry, LLC</w:t>
            </w:r>
          </w:p>
        </w:tc>
        <w:tc>
          <w:tcPr>
            <w:tcW w:w="2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11524269672018</w:t>
            </w:r>
          </w:p>
        </w:tc>
        <w:tc>
          <w:tcPr>
            <w:tcW w:w="80" w:type="dxa"/>
            <w:vAlign w:val="bottom"/>
          </w:tcPr>
          <w:p>
            <w:pPr>
              <w:spacing w:after="0"/>
              <w:rPr>
                <w:sz w:val="17"/>
                <w:szCs w:val="17"/>
                <w:color w:val="auto"/>
              </w:rPr>
            </w:pP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Barry</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7"/>
                <w:szCs w:val="17"/>
                <w:color w:val="auto"/>
              </w:rPr>
              <w:t>03/30/2026</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Cultivation</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TR00000001</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07/13/2026</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Transporter License</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1204-603</w:t>
            </w: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Barry</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Hemp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280.000022-DISP</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Collinsville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01/07/2027</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284.000025-AUDO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Collinsville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280.000029-DISP</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Adams St.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02/03/2027</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284.000026-AUDO</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Adams St.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284.000069-DISP</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Horizon Dr.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284.000104-AUDO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Fairview Heights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Chicago Alternative Health Center,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280.000033-DISP</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Archer Ave.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7"/>
                <w:szCs w:val="17"/>
                <w:color w:val="auto"/>
              </w:rPr>
              <w:t>04/13/2026</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Chicago Alternative Health Center,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284.000124-DISP</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Archer Ave.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6"/>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Alternative Health Center,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284.000125-DISP</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Ridge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MOCA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280.000028-DISP</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Fullerton Ave.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02/01/2027</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MOCA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284.000076-AUDO</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Fullerton Ave.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MOCA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284.000077-AUDO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 St. / Chicago</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Homecoming Group,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284.000235-AUDO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Tinley Park</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InLabs III,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284.000197-AUDO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Northlake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03/31/2028</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bl>
    <w:p>
      <w:pPr>
        <w:spacing w:after="0" w:line="180"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has submitted a renewal application, which remains pending regulatory approval. Licenses remain active during agency review.</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54"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Maryland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Maryland Regulatory Landscape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Maryland has legalized both medical and adult-use of cannabis. In 2012, a state law was enacted to establish a state-regulated medical cannabis program, with legislation signed in May 2013 and the program becoming operational on December 1, 2017. In November 2022, Maryland voters approved a constitutional amendment to legalize cannabis for adult-use by July 1, 2023. The Maryland General Assembly enacted companion legislation which would create a tax and legal structure to govern cannabis sales and adult-use upon the legalization date of July 1, 2023, including the Cannabis Reform Act (the “CRA”). The CRA established the Maryland Cannabis Administration (“MCA”) to oversee both the medical and adult-use programs, and provided for the conversion of existing medical cannabis business licensees to both medical and adult-use. On July 1, 2023, purchase and possession of cannabis for personal adult-use became legal in Maryland for adults 21 and older. Existing medical dispensaries were permitted to pay a conversion fee and sell both adult-use and medical cannabis.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Maryland requires on-going compliance with laws and regulations regarding record keeping, reporting, storage, inventory quality, inventory tracking, security and transportation. Licensees must ensure that no cannabis may be sold, delivered, transported or distributed by a producer from or to a location outside of the state. Licensees are required to submit to announced and unannounced inspections by the MCA, including but not limited to inspections based upon an allegation of noncompliance.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Maryland Licenses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three principal license categories in Maryland: (1) cultivation, (2) processing, and (3) dispensary. The cultivation licenses permit a licensee to acquire, possess, cultivate, deliver, transfer, have tested, transport, supply or sell cannabis and related supplies to cannabis dispensaries, facilities for the production of cannabis products and/or cannabis-infused products or other cannabis cultivation facilities. The processing license permits the licensee to acquire, possess, manufacture, deliver, transfer, transport, supply, or sell cannabis products or cannabis-infused products to other cannabis production facilities or cannabis dispensaries. The retail dispensary licenses permit the licensee to purchase cannabis from cultivation facilities, cannabis and cannabis products from product manufacturing facilities and cannabis from other cannabis dispensaries, as well as allow the sale of cannabis and cannabis products.</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cultivation, processing and dispensary establishments must register with the MCA. If applications contain all required information, establishments are issued a medical cannabis establishment registration certificate. Medical registration certificates are valid for a period of six years and are subject to annual renewals after required fees are paid and the business remains in good standing. After the first expiration of the approved license, the medical dispensary, cultivation and processing licensee is required to renew every four years. Adult-use cannabis licenses will be valid for a period of five years following initial licensure, and an additional five-year period following renewal. Renewal applications may be denied if the licensee has a history of non-compliance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Maryland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Date /</w:t>
            </w:r>
          </w:p>
        </w:tc>
        <w:tc>
          <w:tcPr>
            <w:tcW w:w="3140" w:type="dxa"/>
            <w:vAlign w:val="bottom"/>
          </w:tcPr>
          <w:p>
            <w:pPr>
              <w:spacing w:after="0"/>
              <w:rPr>
                <w:sz w:val="17"/>
                <w:szCs w:val="17"/>
                <w:color w:val="auto"/>
              </w:rPr>
            </w:pPr>
          </w:p>
        </w:tc>
      </w:tr>
      <w:tr>
        <w:trPr>
          <w:trHeight w:val="238"/>
        </w:trPr>
        <w:tc>
          <w:tcPr>
            <w:tcW w:w="20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0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31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3"/>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Care LLC</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DA-23-00027</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Aberdeen</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06/30/2028</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 Medical License</w:t>
            </w:r>
          </w:p>
        </w:tc>
      </w:tr>
      <w:tr>
        <w:trPr>
          <w:trHeight w:val="24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Durjaya, LLC</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DA-23-00107</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Crofton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06/30/2028</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 Medical License</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25"/>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Farmalogics Health and</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DA-23-00104</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Ellicott City</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06/30/2028</w:t>
            </w:r>
          </w:p>
        </w:tc>
        <w:tc>
          <w:tcPr>
            <w:tcW w:w="8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 Medical License</w:t>
            </w:r>
          </w:p>
        </w:tc>
      </w:tr>
      <w:tr>
        <w:trPr>
          <w:trHeight w:val="241"/>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Wellness, LLC</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p>
        </w:tc>
      </w:tr>
      <w:tr>
        <w:trPr>
          <w:trHeight w:val="24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 Pharms, LLC</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DA-23-00106</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06/30/2028</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 Medical License</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Massachusetts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Regulatory Landscape</w:t>
      </w:r>
    </w:p>
    <w:p>
      <w:pPr>
        <w:spacing w:after="0" w:line="17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Massachusetts has legalized both medical and adult-use of cannabis. The Massachusetts Medical Use of Marijuana Program (the “MA Program”) was formed pursuant to the Act for the Humanitarian Medical Use of Marijuana and allows registered persons to purchase medical cannabis and applies to any patient, personal caregiver, Medical Marijuana Treatment Center (each, a “MTC”), and MTC agent that qualifies and registers under the MA Program.</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2016, Massachusetts voters passed a ballot initiative to legalize and regulate cannabis for adult-use. The Massachusetts legislature passed enacting legislation in July 2017 which, among other items, established the Cannabis Control Commission of Massachusetts (the “CCC”) to oversee both the existing MA Program and the new adult-use program. Sales of adult-use cannabis in Massachusetts started in July 2018.</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prevention of diversion, transportation, inventory practices, personnel, and more. As in other states where cannabis is legal, the CCC can deny licenses and renewals for multiple reasons, including but not limited to failure to complete the application process within the required time period, an indication of an inability to maintain and operate a compliant cannabis establishment, failure to comply with cannabis license control limitations, and rejection of revocation of another cannabis license in Massachusetts or elsewhere. Additionally, license holders must ensure that no cannabis is sold, delivered, or distributed by a producer from or to a location outside of the state.</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 Program mandates a comprehensive application process for MTCs. Each registered cannabis dispensary applicant must submit a certificate of good standing, comprehensive financial statements, a character and competency form, and employment and education histories of the senior partners and individuals responsible for the day-to-day security and operation of the MTC. Municipalities may individually determine what local permits or licenses are required if an MTC wishes to establish an operation within its boundaries.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Similarly, adult-use license applicants must submit detailed information about its business registration, certificates of good standing, and a plan to obtain liability insurance in connection with the application process, which must include a detailed business plan, a detailed summary of operating policies and procedures addressing issues like security, storage, prevention of diversion, transportation, inventory practices, recordkeeping, and a specific diversity plan demonstrating promotion of equity among people of color, women, veterans, persons with disabilities, and LGBTQ+ individuals. All individuals identified as having direct or indirect control in the license must undergo an extensive background check that includes criminal, civil, and regulatory records; certain criminal convictions, civil actions, or regulatory infractions may trigger a finding of unsuitability.</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CCC or its agents may inspect a cannabis establishment and affiliated vehicles at any time without prior notice in order to determine compliance with all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10, 2018, the U.S. Attorney for the District of Massachusetts, Andrew Lelling, issued a statement regarding the legalization of adult-use cannabis in Massachusetts. Attorney Lelling stated that since he has a constitutional obligation to enforce the laws passed by Congress, he would not immunize the residents of Massachusetts from federal law enforcement. He did state, however, that his office’s resources would be primarily focused on combating the opioid epidemic. He stated that considering those factors and the experiences of other states that have legalized adult-use cannabis, his office’s enforcement efforts would focus on the areas of overproduction, targeted sales to minors, and organized crime and interstate transportation of drug proceeds. On May 19, 2023, Joshua S. Levy assumed the role of acting U.S. Attorney for the District of Massachusetts. On January 20, 2025, Levy was replaced when Leah Belaire Foley was appointed to the office.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Licenses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Cannabis Control Commission oversees the adult-use program. Under the adult-use program, there are various different state license categories, but the two principal ones are cultivator and establishment (dispensary). Municipalities may individually determine what local permits or licenses are required if a licensee wishes to establish an operation within its boundaries. Each Massachusetts license is valid for one year and must be renewed annually.</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Massachusetts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Date /</w:t>
            </w:r>
          </w:p>
        </w:tc>
        <w:tc>
          <w:tcPr>
            <w:tcW w:w="3140" w:type="dxa"/>
            <w:vAlign w:val="bottom"/>
          </w:tcPr>
          <w:p>
            <w:pPr>
              <w:spacing w:after="0"/>
              <w:rPr>
                <w:sz w:val="17"/>
                <w:szCs w:val="17"/>
                <w:color w:val="auto"/>
              </w:rPr>
            </w:pPr>
          </w:p>
        </w:tc>
      </w:tr>
      <w:tr>
        <w:trPr>
          <w:trHeight w:val="238"/>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0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31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6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MassGrow, LLC</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MC281488</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Athol</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05/11/2026</w:t>
            </w:r>
            <w:r>
              <w:rPr>
                <w:rFonts w:ascii="Times New Roman" w:cs="Times New Roman" w:eastAsia="Times New Roman" w:hAnsi="Times New Roman"/>
                <w:sz w:val="23"/>
                <w:szCs w:val="23"/>
                <w:color w:val="auto"/>
                <w:w w:val="96"/>
                <w:vertAlign w:val="superscript"/>
              </w:rPr>
              <w:t>(1)</w:t>
            </w:r>
          </w:p>
        </w:tc>
        <w:tc>
          <w:tcPr>
            <w:tcW w:w="80" w:type="dxa"/>
            <w:vAlign w:val="bottom"/>
            <w:shd w:val="clear" w:color="auto" w:fill="CCEEFF"/>
          </w:tcPr>
          <w:p>
            <w:pPr>
              <w:spacing w:after="0"/>
              <w:rPr>
                <w:sz w:val="22"/>
                <w:szCs w:val="22"/>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Cultivation License</w:t>
            </w:r>
          </w:p>
        </w:tc>
      </w:tr>
      <w:tr>
        <w:trPr>
          <w:trHeight w:val="2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MassGrow,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MP281460</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Athol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05/11/2026</w:t>
            </w:r>
            <w:r>
              <w:rPr>
                <w:rFonts w:ascii="Times New Roman" w:cs="Times New Roman" w:eastAsia="Times New Roman" w:hAnsi="Times New Roman"/>
                <w:sz w:val="23"/>
                <w:szCs w:val="23"/>
                <w:color w:val="auto"/>
                <w:w w:val="96"/>
                <w:vertAlign w:val="superscript"/>
              </w:rPr>
              <w:t>(1)</w:t>
            </w:r>
          </w:p>
        </w:tc>
        <w:tc>
          <w:tcPr>
            <w:tcW w:w="8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Processing License</w:t>
            </w: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MassGrow,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MC281255</w:t>
            </w: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Amesbury</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03/08/2027</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MassGrow,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MC281300</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Amesbury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03/08/2027</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Mass, LLC</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MR282077</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05/06/2026</w:t>
            </w:r>
            <w:r>
              <w:rPr>
                <w:rFonts w:ascii="Times New Roman" w:cs="Times New Roman" w:eastAsia="Times New Roman" w:hAnsi="Times New Roman"/>
                <w:sz w:val="23"/>
                <w:szCs w:val="23"/>
                <w:color w:val="auto"/>
                <w:w w:val="96"/>
                <w:vertAlign w:val="superscript"/>
              </w:rPr>
              <w:t>(1)</w:t>
            </w:r>
          </w:p>
        </w:tc>
        <w:tc>
          <w:tcPr>
            <w:tcW w:w="80" w:type="dxa"/>
            <w:vAlign w:val="bottom"/>
            <w:shd w:val="clear" w:color="auto" w:fill="CCEEFF"/>
          </w:tcPr>
          <w:p>
            <w:pPr>
              <w:spacing w:after="0"/>
              <w:rPr>
                <w:sz w:val="23"/>
                <w:szCs w:val="23"/>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Mass,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MR282837</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Newton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3/17/2026</w:t>
            </w:r>
            <w:r>
              <w:rPr>
                <w:rFonts w:ascii="Times New Roman" w:cs="Times New Roman" w:eastAsia="Times New Roman" w:hAnsi="Times New Roman"/>
                <w:sz w:val="23"/>
                <w:szCs w:val="23"/>
                <w:color w:val="auto"/>
                <w:w w:val="96"/>
                <w:vertAlign w:val="superscript"/>
              </w:rPr>
              <w:t>(1)</w:t>
            </w:r>
          </w:p>
        </w:tc>
        <w:tc>
          <w:tcPr>
            <w:tcW w:w="8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Southcoast Apothecary, LLC</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MR283075</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Bedford</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4/7/2026</w:t>
            </w:r>
            <w:r>
              <w:rPr>
                <w:rFonts w:ascii="Times New Roman" w:cs="Times New Roman" w:eastAsia="Times New Roman" w:hAnsi="Times New Roman"/>
                <w:sz w:val="23"/>
                <w:szCs w:val="23"/>
                <w:color w:val="auto"/>
                <w:w w:val="92"/>
                <w:vertAlign w:val="superscript"/>
              </w:rPr>
              <w:t>(1)</w:t>
            </w:r>
          </w:p>
        </w:tc>
        <w:tc>
          <w:tcPr>
            <w:tcW w:w="80" w:type="dxa"/>
            <w:vAlign w:val="bottom"/>
            <w:shd w:val="clear" w:color="auto" w:fill="CCEEFF"/>
          </w:tcPr>
          <w:p>
            <w:pPr>
              <w:spacing w:after="0"/>
              <w:rPr>
                <w:sz w:val="23"/>
                <w:szCs w:val="23"/>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bl>
    <w:p>
      <w:pPr>
        <w:spacing w:after="0" w:line="158"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has submitted a renewal application, which remains pending regulatory approval. Licenses remain active during agency review.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Michigan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Michigan Regulatory Landscape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Michigan has legalized both medical and adult-use of cannabis. Following a public ballot initiative, what is now known as the Michigan Medical Marihuana Act was enacted in December 2008 to provide access to state residents to cannabis and cannabis related products under certain qualifying debilitating conditions. The Medical Marijuana Facilities Licensing Act was adopted by the legislature in 2016 to provide for the licensing of commercial medical cannabis growers, processors, transporters, and provisioning centers. In November 2018, Michigan voters approved the Michigan Regulation and Taxation of Marihuana Act (“MRTMA”) through another public ballot initiative legalizing and establishing a licensing and regulatory framework for adult-use growers, processors, secure transporters, retailers, microbusinesses, event organizers, designated consumption establishments, and safety compliance facilities. The state began taking applications for such on November 1, 2019 and the first sales of adult-use cannabis took place on December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Cannabis Regulatory Agency (formally known as the Marihuana Regulatory Agency, the “CRA”) is a separate agency within the Michigan Department of Licensing and Regulatory Affairs and is responsible for the oversight of cannabis, including issuing cards to patients and the oversight and licensing of medical facilities and adult-use establishments. While the MMFLA and MRTMA remain separate and distinct laws, the CRA adopted topic-based Administrative Rules in June 2020 which address both medical facilities and adult-use establishments. The most recent update to the Administrative Rules went into effect on March 7, 2022.</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both the MMFLA and MRTMA, Michigan municipalities can choose if they will allow cannabis establishments or facilities, and the type and number of establishments or facilities within their jurisdiction. This includes licensing and zoning ordinances for many municipalities. Because each municipality is able to devise a unique set of rules for cannabis licenses, each facility or establishment in a different Michigan municipality may be subject to a different set of local ordinances.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Licensees are heavily regulated pursuant to the MRTMA, MMFLA and Administrative Rules, with on-going requirements related to operations, security, storage, transportation, inventory tracking, reporting, personnel, and more. As in other states where cannabis is legal, Michigan regulators can deny or revoke licenses and renewals for multiple reasons. Licensees must ensure that no cannabis may be sold, delivered, transported or distributed by a producer from or to a location outside of the state. Licensees are required to submit to announced and unannounced inspections by the CRA or its agents, including initial pre-licensure inspections, a post-licensure inspection within 30 days of operation, and then semi-annual inspections thereafter.</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8, 2018, former U.S. Attorneys Matthew Schneider and Andrew Birge for the Eastern and Western Districts of Michigan, respectively, issued a joint statement regarding the legalization of adult-use cannabis in Michigan. They stated that since they had taken oaths to protect and defend the Constitution and the laws of the United States, they would not immunize the residents of Michigan from federal law enforcement. They stated that they would continue to the investigation and prosecution of cannabis crimes as they do with any other crime and in doing so, would consider the federal law enforcement priorities set by the DOJ, the seriousness of the crime, the deterrent effect of prosecution, and the cumulative impact of the crime on a community, while also considering their ability to prosecute with limited resources. They did state that resources would be primarily focused on combating the opioid epidemic and enforcement efforts focused on areas including interstate trafficking, involvement of other illegal drugs or activity, persons with criminal records, presence of firearms or violence, criminal enterprises, gangs and cartels, bypassing local laws and regulations, potential for environmental contamination, risks to minors, and cultivation on federal property. On December 21, 2021, Dawn N. Ison was appointed as U.S. Attorney for the Eastern District of Michigan. On May 5, 2022, Mark A. Totten was appointed as U.S. Attorney for the Western District of Michigan. Totten departed the office on January 20, 2025. Timothy VerHey was appointed as U.S. Attorney for the Western District of Michigan.</w:t>
      </w:r>
    </w:p>
    <w:p>
      <w:pPr>
        <w:spacing w:after="0" w:line="1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2025, Michigan enacted the Comprehensive Road Funding Act (“CRFA”) which imposed a twenty-four percent tax on wholesale transactions of adult-use marijuana. It is unclear how the CRFA’s newly imposed tax will impact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Michigan Licenses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Michigan administrates ten types of cannabis licenses: (1) grower licenses, (2) processor licenses, (3) secure transporter licenses, (4) provisioning center/retailer licenses, (5) retailer licenses, (6) safety compliance facility licenses, (7) designated consumption establishment licenses, (8) event licenses,</w:t>
      </w:r>
    </w:p>
    <w:p>
      <w:pPr>
        <w:jc w:val="both"/>
        <w:ind w:firstLine="8"/>
        <w:spacing w:after="0" w:line="255" w:lineRule="auto"/>
        <w:tabs>
          <w:tab w:leader="none" w:pos="3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microbusiness licenses, and (10) educational research licenses. Michigan also issues hemp processor handling licenses, which it requires all dispensaries, cultivators, and processors to hold. There are no stated limits on the number of licenses that can be made available on a state level; however, regulatory authorities have discretion over the approval of applications and municipalities can pass additional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Michigan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Date /</w:t>
            </w:r>
          </w:p>
        </w:tc>
        <w:tc>
          <w:tcPr>
            <w:tcW w:w="2520" w:type="dxa"/>
            <w:vAlign w:val="bottom"/>
          </w:tcPr>
          <w:p>
            <w:pPr>
              <w:spacing w:after="0"/>
              <w:rPr>
                <w:sz w:val="17"/>
                <w:szCs w:val="17"/>
                <w:color w:val="auto"/>
              </w:rPr>
            </w:pPr>
          </w:p>
        </w:tc>
      </w:tr>
      <w:tr>
        <w:trPr>
          <w:trHeight w:val="238"/>
        </w:trPr>
        <w:tc>
          <w:tcPr>
            <w:tcW w:w="24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0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5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6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AU-R-000286</w:t>
            </w:r>
          </w:p>
        </w:tc>
        <w:tc>
          <w:tcPr>
            <w:tcW w:w="100" w:type="dxa"/>
            <w:vAlign w:val="bottom"/>
            <w:shd w:val="clear" w:color="auto" w:fill="CCEEFF"/>
          </w:tcPr>
          <w:p>
            <w:pPr>
              <w:spacing w:after="0"/>
              <w:rPr>
                <w:sz w:val="22"/>
                <w:szCs w:val="22"/>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Arbor</w:t>
            </w:r>
          </w:p>
        </w:tc>
        <w:tc>
          <w:tcPr>
            <w:tcW w:w="80" w:type="dxa"/>
            <w:vAlign w:val="bottom"/>
            <w:shd w:val="clear" w:color="auto" w:fill="CCEEFF"/>
          </w:tcPr>
          <w:p>
            <w:pPr>
              <w:spacing w:after="0"/>
              <w:rPr>
                <w:sz w:val="22"/>
                <w:szCs w:val="22"/>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11/27/2026</w:t>
            </w:r>
            <w:r>
              <w:rPr>
                <w:rFonts w:ascii="Times New Roman" w:cs="Times New Roman" w:eastAsia="Times New Roman" w:hAnsi="Times New Roman"/>
                <w:sz w:val="23"/>
                <w:szCs w:val="23"/>
                <w:color w:val="auto"/>
                <w:w w:val="96"/>
                <w:vertAlign w:val="superscript"/>
              </w:rPr>
              <w:t>(1)</w:t>
            </w:r>
          </w:p>
        </w:tc>
        <w:tc>
          <w:tcPr>
            <w:tcW w:w="80" w:type="dxa"/>
            <w:vAlign w:val="bottom"/>
            <w:shd w:val="clear" w:color="auto" w:fill="CCEEFF"/>
          </w:tcPr>
          <w:p>
            <w:pPr>
              <w:spacing w:after="0"/>
              <w:rPr>
                <w:sz w:val="22"/>
                <w:szCs w:val="22"/>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PC-000391</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Battle Creek</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07/29/2026</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2"/>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AU-R-000234</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Battle Creek</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11/27/2026</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PC-000318</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Morenci</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07/29/2026</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2"/>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AU-R-000125</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Morenci</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11/27/2026</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PC-000503</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28th Street, Grand Rapids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07/29/2026</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2"/>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AU-R-000338</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28th Street, Grand Rapids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11/27/2026</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198"/>
        </w:trPr>
        <w:tc>
          <w:tcPr>
            <w:tcW w:w="24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AU-R-000373</w:t>
            </w:r>
          </w:p>
        </w:tc>
        <w:tc>
          <w:tcPr>
            <w:tcW w:w="2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Scribner Ave, Grand</w:t>
            </w:r>
          </w:p>
        </w:tc>
        <w:tc>
          <w:tcPr>
            <w:tcW w:w="2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11/27/2026</w:t>
            </w:r>
          </w:p>
        </w:tc>
        <w:tc>
          <w:tcPr>
            <w:tcW w:w="80" w:type="dxa"/>
            <w:vAlign w:val="bottom"/>
          </w:tcPr>
          <w:p>
            <w:pPr>
              <w:spacing w:after="0"/>
              <w:rPr>
                <w:sz w:val="17"/>
                <w:szCs w:val="17"/>
                <w:color w:val="auto"/>
              </w:rPr>
            </w:pPr>
          </w:p>
        </w:tc>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Rapids</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98"/>
        </w:trPr>
        <w:tc>
          <w:tcPr>
            <w:tcW w:w="24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PC-000846</w:t>
            </w:r>
          </w:p>
        </w:tc>
        <w:tc>
          <w:tcPr>
            <w:tcW w:w="2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Century Ave, Grand</w:t>
            </w:r>
          </w:p>
        </w:tc>
        <w:tc>
          <w:tcPr>
            <w:tcW w:w="2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07/29/2026</w:t>
            </w: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Use License</w:t>
            </w: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Rapids</w:t>
            </w:r>
          </w:p>
        </w:tc>
        <w:tc>
          <w:tcPr>
            <w:tcW w:w="2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r>
      <w:tr>
        <w:trPr>
          <w:trHeight w:val="198"/>
        </w:trPr>
        <w:tc>
          <w:tcPr>
            <w:tcW w:w="24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AU-R-000923</w:t>
            </w:r>
          </w:p>
        </w:tc>
        <w:tc>
          <w:tcPr>
            <w:tcW w:w="2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Century Ave, Grand</w:t>
            </w:r>
          </w:p>
        </w:tc>
        <w:tc>
          <w:tcPr>
            <w:tcW w:w="2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11/27/2026</w:t>
            </w:r>
          </w:p>
        </w:tc>
        <w:tc>
          <w:tcPr>
            <w:tcW w:w="80" w:type="dxa"/>
            <w:vAlign w:val="bottom"/>
          </w:tcPr>
          <w:p>
            <w:pPr>
              <w:spacing w:after="0"/>
              <w:rPr>
                <w:sz w:val="17"/>
                <w:szCs w:val="17"/>
                <w:color w:val="auto"/>
              </w:rPr>
            </w:pPr>
          </w:p>
        </w:tc>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Rapids</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PR-000171</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Lansing</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07/29/2026</w:t>
            </w: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Processor License</w:t>
            </w:r>
          </w:p>
        </w:tc>
      </w:tr>
      <w:tr>
        <w:trPr>
          <w:trHeight w:val="198"/>
        </w:trPr>
        <w:tc>
          <w:tcPr>
            <w:tcW w:w="24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GR-C-000858,</w:t>
            </w:r>
          </w:p>
        </w:tc>
        <w:tc>
          <w:tcPr>
            <w:tcW w:w="2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Lansing</w:t>
            </w:r>
          </w:p>
        </w:tc>
        <w:tc>
          <w:tcPr>
            <w:tcW w:w="2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07/29/2026</w:t>
            </w:r>
          </w:p>
        </w:tc>
        <w:tc>
          <w:tcPr>
            <w:tcW w:w="80" w:type="dxa"/>
            <w:vAlign w:val="bottom"/>
          </w:tcPr>
          <w:p>
            <w:pPr>
              <w:spacing w:after="0"/>
              <w:rPr>
                <w:sz w:val="17"/>
                <w:szCs w:val="17"/>
                <w:color w:val="auto"/>
              </w:rPr>
            </w:pPr>
          </w:p>
        </w:tc>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Cultivation License</w:t>
            </w: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GR-C-000859,</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GR-C-000856,</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4"/>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GR-C-000857</w:t>
            </w: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98"/>
        </w:trPr>
        <w:tc>
          <w:tcPr>
            <w:tcW w:w="24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AU-G-C000312,</w:t>
            </w:r>
          </w:p>
        </w:tc>
        <w:tc>
          <w:tcPr>
            <w:tcW w:w="2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Lansing</w:t>
            </w:r>
          </w:p>
        </w:tc>
        <w:tc>
          <w:tcPr>
            <w:tcW w:w="2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11/27/2026</w:t>
            </w: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Cultivation License</w:t>
            </w: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AU-G-C000327,</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AU-G-C000328,</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AU-G-C000329,</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AU-G-C000498,</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AU-G-EX-000209,</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189"/>
        </w:trPr>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AU-G-EX-000210,</w:t>
            </w:r>
          </w:p>
        </w:tc>
        <w:tc>
          <w:tcPr>
            <w:tcW w:w="1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AU-G-EX-000211</w:t>
            </w:r>
          </w:p>
        </w:tc>
        <w:tc>
          <w:tcPr>
            <w:tcW w:w="1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r>
      <w:tr>
        <w:trPr>
          <w:trHeight w:val="24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AU-P-000145</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Lansing</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11/27/2026</w:t>
            </w:r>
          </w:p>
        </w:tc>
        <w:tc>
          <w:tcPr>
            <w:tcW w:w="8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Processor License</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PC-000791</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Lansing</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07/29/2026</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4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AU-R-000706</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 Lansing</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11/27/2026</w:t>
            </w:r>
          </w:p>
        </w:tc>
        <w:tc>
          <w:tcPr>
            <w:tcW w:w="8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 - 000451425</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Lansing</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04/30/2026</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Processing/Liquor License</w:t>
            </w:r>
          </w:p>
        </w:tc>
      </w:tr>
      <w:tr>
        <w:trPr>
          <w:trHeight w:val="22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HPHL-002429</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locations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11/30/2026</w:t>
            </w:r>
          </w:p>
        </w:tc>
        <w:tc>
          <w:tcPr>
            <w:tcW w:w="8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Hemp Processor-Related Handler</w:t>
            </w:r>
          </w:p>
        </w:tc>
      </w:tr>
      <w:tr>
        <w:trPr>
          <w:trHeight w:val="234"/>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TJM Enterprises Services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HPHL-002457</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Detroit</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11/30/2026</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Hemp Retail Handler License</w:t>
            </w:r>
          </w:p>
        </w:tc>
      </w:tr>
      <w:tr>
        <w:trPr>
          <w:trHeight w:val="24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TJM Enterprises Services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AU-R-001377</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Detroit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02/18/2027</w:t>
            </w:r>
          </w:p>
        </w:tc>
        <w:tc>
          <w:tcPr>
            <w:tcW w:w="8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bl>
    <w:p>
      <w:pPr>
        <w:spacing w:after="0" w:line="185"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January 8, 2026, the Ann Arbor retail location is not operational. The associated license remains active and has not been surrendered.</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Jersey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 Regulatory Landscape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Jersey has legalized both medical and adult-use of cannabis. New Jersey’s medical cannabis program was introduced in January 2010 when Governor Corzine signed the New Jersey Compassionate Use Medical Marijuana Act into law, which legalized medical cannabis for patients with certain enumerated qualifying conditions. Medical cannabis sales began in December 2012 through licensed Alternative Treatment Centers (“ATCs”).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3, 2020, New Jersey voters approved an amendment to the state’s constitution to legalize cannabis for adult-use. On February 22, 2021, Governor Phil Murphy signed into law three bills which, taken together, give effect to the amendment and decriminalize small amounts of cannabis possession in New Jersey. The Cannabis Regulatory Commission (“CRC”) was created to establish rules and regulations governing the sale and purchase of adult-use cannabis, to administer the state’s medicinal cannabis program, and to oversee licensing for all areas of the cannabis industry. On April 21, 2022 the first adult-use sales began.</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ATC licenses are awarded by a selection committee that evaluates applicants on the following general criteria: (1) submittal of mandatory organizational information; (2) ability to meet the overall health needs of qualified patients and safety of the public; (3) history of compliance with regulations and policies governing government-regulated cannabis programs; (4) ability and experience of applicant in ensuring an adequate supply of cannabis; (5) community support and participation; (6) ability to provide appropriate research data; (7) experience in cultivating, manufacturing, or dispensing cannabis in compliance with government-regulated cannabis programs; and (8) workforce and job creation plan. Information required to be submitted is wide-ranging, and includes identification information and background checks of principals, employees, directors, and other stakeholders, and evidence of compliance with certain state and local laws and ordinances.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Licensees are heavily regulated with detailed on-going requirements related to operations, security, storage, transportation, inventory tracking, reporting, personnel, and more. As in other states where cannabis is legal, New Jersey regulators can deny or revoke licenses and renewals for multiple reasons. Licensees must ensure that no cannabis may be sold, delivered, transported or distributed by a producer from or to a location outside of the state. Licensees are required to submit to announced and unannounced inspections by regulators, and are required to notify regulators within 20 days of any violation along with detailed information of corrective actions taken.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 Licenses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 Jersey permits the operation of vertically integrated cannabis licenses which allows the licensee to cultivate, process, and sell cannabis products. There are also non-vertically integrated licenses, which principally include (1) cultivation and manufacture and (2) dispensary. For adult-use cannabis, New Jersey administers six license classes, including (1) cultivation, (2) manufacture, (3) wholesale, (4) distributor, (5) retail, and (6) delivery. ATCs may expand into adult-use sales if approved by the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New Jersey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Expiration Date /</w:t>
            </w:r>
          </w:p>
        </w:tc>
        <w:tc>
          <w:tcPr>
            <w:tcW w:w="2480" w:type="dxa"/>
            <w:vAlign w:val="bottom"/>
          </w:tcPr>
          <w:p>
            <w:pPr>
              <w:spacing w:after="0"/>
              <w:rPr>
                <w:sz w:val="17"/>
                <w:szCs w:val="17"/>
                <w:color w:val="auto"/>
              </w:rPr>
            </w:pPr>
          </w:p>
        </w:tc>
      </w:tr>
      <w:tr>
        <w:trPr>
          <w:trHeight w:val="238"/>
        </w:trPr>
        <w:tc>
          <w:tcPr>
            <w:tcW w:w="28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1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City</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4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3"/>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MC000002</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Cultivation License</w:t>
            </w:r>
          </w:p>
        </w:tc>
      </w:tr>
      <w:tr>
        <w:trPr>
          <w:trHeight w:val="24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MM000202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8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Manufacturing License</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C000002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04/17/2026</w:t>
            </w:r>
            <w:r>
              <w:rPr>
                <w:rFonts w:ascii="Times New Roman" w:cs="Times New Roman" w:eastAsia="Times New Roman" w:hAnsi="Times New Roman"/>
                <w:sz w:val="23"/>
                <w:szCs w:val="23"/>
                <w:color w:val="auto"/>
                <w:w w:val="96"/>
                <w:vertAlign w:val="superscript"/>
              </w:rPr>
              <w:t>(1)</w:t>
            </w:r>
          </w:p>
        </w:tc>
        <w:tc>
          <w:tcPr>
            <w:tcW w:w="80" w:type="dxa"/>
            <w:vAlign w:val="bottom"/>
            <w:shd w:val="clear" w:color="auto" w:fill="CCEEFF"/>
          </w:tcPr>
          <w:p>
            <w:pPr>
              <w:spacing w:after="0"/>
              <w:rPr>
                <w:sz w:val="23"/>
                <w:szCs w:val="23"/>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Cultivation License</w:t>
            </w:r>
          </w:p>
        </w:tc>
      </w:tr>
      <w:tr>
        <w:trPr>
          <w:trHeight w:val="225"/>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M000001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20" w:type="dxa"/>
            <w:vAlign w:val="bottom"/>
          </w:tcPr>
          <w:p>
            <w:pPr>
              <w:jc w:val="center"/>
              <w:spacing w:after="0" w:line="224" w:lineRule="exact"/>
              <w:rPr>
                <w:sz w:val="20"/>
                <w:szCs w:val="20"/>
                <w:color w:val="auto"/>
              </w:rPr>
            </w:pPr>
            <w:r>
              <w:rPr>
                <w:rFonts w:ascii="Times New Roman" w:cs="Times New Roman" w:eastAsia="Times New Roman" w:hAnsi="Times New Roman"/>
                <w:sz w:val="18"/>
                <w:szCs w:val="18"/>
                <w:color w:val="auto"/>
                <w:w w:val="96"/>
              </w:rPr>
              <w:t>04/17/2026</w:t>
            </w:r>
            <w:r>
              <w:rPr>
                <w:rFonts w:ascii="Times New Roman" w:cs="Times New Roman" w:eastAsia="Times New Roman" w:hAnsi="Times New Roman"/>
                <w:sz w:val="23"/>
                <w:szCs w:val="23"/>
                <w:color w:val="auto"/>
                <w:w w:val="96"/>
                <w:vertAlign w:val="superscript"/>
              </w:rPr>
              <w:t>(1)</w:t>
            </w:r>
          </w:p>
        </w:tc>
        <w:tc>
          <w:tcPr>
            <w:tcW w:w="8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Manufacturing</w:t>
            </w:r>
          </w:p>
        </w:tc>
      </w:tr>
      <w:tr>
        <w:trPr>
          <w:trHeight w:val="234"/>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MRE000817</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Wharton</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7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RE00015</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Wharton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06/05/2026</w:t>
            </w:r>
            <w:r>
              <w:rPr>
                <w:rFonts w:ascii="Times New Roman" w:cs="Times New Roman" w:eastAsia="Times New Roman" w:hAnsi="Times New Roman"/>
                <w:sz w:val="23"/>
                <w:szCs w:val="23"/>
                <w:color w:val="auto"/>
                <w:w w:val="96"/>
                <w:vertAlign w:val="superscript"/>
              </w:rPr>
              <w:t>(1)</w:t>
            </w:r>
          </w:p>
        </w:tc>
        <w:tc>
          <w:tcPr>
            <w:tcW w:w="80" w:type="dxa"/>
            <w:vAlign w:val="bottom"/>
          </w:tcPr>
          <w:p>
            <w:pPr>
              <w:spacing w:after="0"/>
              <w:rPr>
                <w:sz w:val="23"/>
                <w:szCs w:val="23"/>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5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MRE000805</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Rochelle Park</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7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RE000012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Rochelle Park</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04/20/2026</w:t>
            </w:r>
            <w:r>
              <w:rPr>
                <w:rFonts w:ascii="Times New Roman" w:cs="Times New Roman" w:eastAsia="Times New Roman" w:hAnsi="Times New Roman"/>
                <w:sz w:val="23"/>
                <w:szCs w:val="23"/>
                <w:color w:val="auto"/>
                <w:w w:val="96"/>
                <w:vertAlign w:val="superscript"/>
              </w:rPr>
              <w:t>(1)</w:t>
            </w:r>
          </w:p>
        </w:tc>
        <w:tc>
          <w:tcPr>
            <w:tcW w:w="80" w:type="dxa"/>
            <w:vAlign w:val="bottom"/>
          </w:tcPr>
          <w:p>
            <w:pPr>
              <w:spacing w:after="0"/>
              <w:rPr>
                <w:sz w:val="23"/>
                <w:szCs w:val="23"/>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5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MRE000823</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Lee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4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RE000259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Lee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11/14/2026</w:t>
            </w:r>
          </w:p>
        </w:tc>
        <w:tc>
          <w:tcPr>
            <w:tcW w:w="8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bl>
    <w:p>
      <w:pPr>
        <w:spacing w:after="0" w:line="256" w:lineRule="exact"/>
        <w:rPr>
          <w:sz w:val="20"/>
          <w:szCs w:val="20"/>
          <w:color w:val="auto"/>
        </w:rPr>
      </w:pPr>
    </w:p>
    <w:p>
      <w:pPr>
        <w:ind w:left="340" w:right="160" w:hanging="332"/>
        <w:spacing w:after="0" w:line="226" w:lineRule="auto"/>
        <w:tabs>
          <w:tab w:leader="none" w:pos="32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Renewal application submitted; licenses remain active during agency review. Renewal is pending final regulatory approval, which, based on the New Jersey Cannabis Regulatory Commission’s Public Meeting schedule and out compliance history, is expect by the end of Q2 2026; however, final issuance remains subject to Commission approval.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Ohio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Regulatory Landscape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Ohio has legalized both medical and adult-use of cannabis. Established September 8, 2016, the Ohio Medical cannabis Control Program (“OMMCP”) allowed people with certain debilitating medical conditions to purchase medical cannabis. On November 7, 2023, Ohio voted to legalize adult-use cannabis through a ballot proposal known as Issue 2. Despite the lack of enacting legislation, Issue 2 established a regulatory framework, including the creation of the Division of Cannabis Control (“DCC”) as part of the Ohio Department of Commerce, which licenses and regulates medical and adult-use cultivators, processors, testing laboratories, and dispensaries. As of today, the DCC continues to work to propose new rules to govern Ohio’s medical and adult-use cannabis market and replace the rules currently in effect.</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creation of the DCC, regulatory oversight was shared between three offices: (a) the Ohio Department of Commerce with respect to overseeing cultivators, processors and testing laboratories, (b) the Ohio Board of Pharmacy with respect to overseeing retail dispensaries and the registration of patients and caregivers, and (c) the State Medical Board of Ohio with respect to certifying physicians to recommend medical cannabis.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transportation, inventory tracking, reporting, personnel, and more. Regulators can deny or revoke licenses and renewals for multiple reasons, including if the licensee has a history of non-compliance and penalties. Licensees must ensure that no cannabis may be sold, delivered, transported or distributed by a producer from or to a location outside of the state. Licensees are required to submit to announced and unannounced inspections by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10, 2025, the Ohio legislature passed Senate Bill 56 (“S.B. 56”), which Governor Mike DeWine signed on December 19, 2025. S.B. 56 amends Ohio’s current cannabis and hemp laws. S.B. 56 will, as relates to our operations in Ohio, impose an additional ten percent tax on the retail sale of adult-use marijuana, prohibits public use of cannabis and tightens rules around “open containers” of cannabis in the public and vehicles, prohibits individuals from using cannabis in a residence if possession and use is prohibited under a lease agreement, and prohibits individuals from transferring cannabis to other individuals with or without remuneration. It is unclear how the passage of S.B. 56 will impact Company’s operations in Ohio.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Licenses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Three principal license categories currently exist in Ohio: (1) cultivation, (2) processing and (3) dispensary. Dispensary certificates of operation carry two-year terms, while certificates of operation for cultivators and processors must be renewed annually. In August 2024, the existing licenses were converted to dual-use licenses which allow for the cultivation, processing, and sale of medical and adult-use cannabis, as applicable.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the licenses held by our subsidiaries in Ohio: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Expiration Date /</w:t>
            </w:r>
          </w:p>
        </w:tc>
        <w:tc>
          <w:tcPr>
            <w:tcW w:w="2500" w:type="dxa"/>
            <w:vAlign w:val="bottom"/>
          </w:tcPr>
          <w:p>
            <w:pPr>
              <w:spacing w:after="0"/>
              <w:rPr>
                <w:sz w:val="17"/>
                <w:szCs w:val="17"/>
                <w:color w:val="auto"/>
              </w:rPr>
            </w:pPr>
          </w:p>
        </w:tc>
      </w:tr>
      <w:tr>
        <w:trPr>
          <w:trHeight w:val="238"/>
        </w:trPr>
        <w:tc>
          <w:tcPr>
            <w:tcW w:w="306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8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17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Renewal Date</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3"/>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BCCO, LLC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CCD000036-00</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Carroll</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09/30/2027</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r>
        <w:trPr>
          <w:trHeight w:val="2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Hemma,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CCC000018-00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Monroe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09/10/2026</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Medical Cultivation,</w:t>
            </w:r>
          </w:p>
        </w:tc>
      </w:t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 Sell, Deliver</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Cannabis Clinic, LLC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CCD000040-00</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Coshocton</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12/20/2027</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r>
        <w:trPr>
          <w:trHeight w:val="27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Marichron Pharma,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CCP000053-00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Monroe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03/23/2026</w:t>
            </w:r>
            <w:r>
              <w:rPr>
                <w:rFonts w:ascii="Times New Roman" w:cs="Times New Roman" w:eastAsia="Times New Roman" w:hAnsi="Times New Roman"/>
                <w:sz w:val="23"/>
                <w:szCs w:val="23"/>
                <w:color w:val="auto"/>
                <w:w w:val="96"/>
                <w:vertAlign w:val="superscript"/>
              </w:rPr>
              <w:t>(1)</w:t>
            </w:r>
          </w:p>
        </w:tc>
        <w:tc>
          <w:tcPr>
            <w:tcW w:w="10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Medical Processing</w:t>
            </w: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Patient Access, LLC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CCD000089-00</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Sandusky</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11/28/2027</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 Patient Access,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CCD000088-00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Piqua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12/21/2027</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Patient Access, LLC</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CCD000087-00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Cincinnati</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01/08/2028</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r>
        <w:trPr>
          <w:trHeight w:val="27"/>
        </w:trPr>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12"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has submitted a renewal application, which remains pending regulatory approval. Licenses remain active during agency review.</w:t>
      </w:r>
    </w:p>
    <w:p>
      <w:pPr>
        <w:spacing w:after="0" w:line="136" w:lineRule="exact"/>
        <w:rPr>
          <w:rFonts w:ascii="Times New Roman" w:cs="Times New Roman" w:eastAsia="Times New Roman" w:hAnsi="Times New Roman"/>
          <w:sz w:val="21"/>
          <w:szCs w:val="21"/>
          <w:color w:val="auto"/>
          <w:vertAlign w:val="superscript"/>
        </w:rPr>
      </w:pPr>
    </w:p>
    <w:p>
      <w:pPr>
        <w:ind w:left="6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u w:val="single" w:color="auto"/>
          <w:color w:val="auto"/>
        </w:rPr>
        <w:t>Pennsylvania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Pennsylvania Regulatory Landscape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Pennsylvania currently allows access to cannabis for medical use. The Pennsylvania medical cannabis program was signed into law on April 17, 2016 and provided access to state residents with one or more qualifying conditions. On July 11, 2022, Governor Tom Wolf signed into law H.B. 311, containing an amendment that states that a “financial institution authorized to engage in business in this Commonwealth may provide financial services to or for the benefit of a legitimate cannabis-related business.” The same protections apply to insurers.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transportation, inventory tracking, reporting, personnel, and more. Regulators can deny or revoke licenses and renewals for multiple reasons. Licensees must ensure that no cannabis may be sold, delivered, transported or distributed by a producer from or to a location outside of the state. Licensees are required to submit to announced and unannounced inspections by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Pennsylvania Licenses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two principal license categories in Pennsylvania: (1) cultivation/processing and (2) dispensary. All cultivation/processing establishments and dispensaries must register with the Pennsylvania Department of Health. Registration certificates are valid for a period of one year and are subject to annual renewals after required fees are paid and the business remains in good standing. The Pennsylvania Department of Health must renew a permit unless it determines the applicant is unlikely to maintain effective control against diversion of medical cannabis and the applicant is unlikely to comply with all laws as prescribed under the Pennsylvania medical cannabis program. Story of PA CR, LLC holds two dispensary licenses and one cultivation/processing license.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Pennsylvania licenses: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Registrant</w:t>
            </w:r>
          </w:p>
        </w:tc>
        <w:tc>
          <w:tcPr>
            <w:tcW w:w="2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Date /</w:t>
            </w:r>
          </w:p>
        </w:tc>
        <w:tc>
          <w:tcPr>
            <w:tcW w:w="21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2400" w:type="dxa"/>
            <w:vAlign w:val="bottom"/>
            <w:gridSpan w:val="2"/>
            <w:vMerge w:val="continue"/>
          </w:tcPr>
          <w:p>
            <w:pPr>
              <w:spacing w:after="0"/>
              <w:rPr>
                <w:sz w:val="21"/>
                <w:szCs w:val="21"/>
                <w:color w:val="auto"/>
              </w:rPr>
            </w:pPr>
          </w:p>
        </w:tc>
        <w:tc>
          <w:tcPr>
            <w:tcW w:w="226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40" w:type="dxa"/>
            <w:vAlign w:val="bottom"/>
            <w:gridSpan w:val="2"/>
            <w:vMerge w:val="continue"/>
          </w:tcPr>
          <w:p>
            <w:pPr>
              <w:spacing w:after="0"/>
              <w:rPr>
                <w:sz w:val="21"/>
                <w:szCs w:val="21"/>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3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Story of PA CR, LLC</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CR-01-GP21-5101</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Smithfield</w:t>
            </w: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03/01/2027</w:t>
            </w:r>
          </w:p>
        </w:tc>
        <w:tc>
          <w:tcPr>
            <w:tcW w:w="8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Medical Cultivation /</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Processor License</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Scranton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03/01/2027</w:t>
            </w:r>
          </w:p>
        </w:tc>
        <w:tc>
          <w:tcPr>
            <w:tcW w:w="8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Wayne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03/01/2027</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r>
        <w:trPr>
          <w:trHeight w:val="23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Cranberry Township</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03/01/2027</w:t>
            </w:r>
          </w:p>
        </w:tc>
        <w:tc>
          <w:tcPr>
            <w:tcW w:w="8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Monaca</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03/01/2027</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r>
        <w:trPr>
          <w:trHeight w:val="23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Whitehall</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03/01/2027</w:t>
            </w:r>
          </w:p>
        </w:tc>
        <w:tc>
          <w:tcPr>
            <w:tcW w:w="8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Recent Developments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Certain recent developments of the Company are discussed in more detail in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to this Annual Report on Form 10-K and/or in the notes to the consolidated financial statements contained in Item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Annual Report on Form 10-K, which sections include the description of other events that occurred during the year. For a description of our material pending legal proceedings, please see Note 15, “Commitments and Contingencies,” of the Notes to Consolidated Financial Statements included in Part II, Item 8 of this Annual Report on Form 10-K, which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website address is www.awholdings.com. Through this website, our filings with the SEC and the Canadian securities regulatory authorities, including annual reports on Form 10-K, quarterly reports on Form 10-Q, current reports on Form 8-K, and all amendments to those reports, will be accessible (free of charge) as soon as reasonably practicable after materials are electronically filed with or furnished to the SEC and the relevant Canadian securities regulatory authorities. The information provided on our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“Forward-Looking Statements” and “Management’s Discussion and Analysis of Financial Condition and Results of Operations” and our financial statements and the related notes thereto included elsewhere in this Annual Report on Form 10-K. Any of the following risks could have an adverse effect on our business, financial condition, operating results, or prospects and could cause the trading price of shares of our Class A common stock to decline, which would cause you to lose all or part of your investment. Our business, financial condition, operating results, or prospects could also be harmed by risks and uncertainties not currently known to use or that we currently do not believe are material.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is subject to a number of risks and uncertainties of which you should be aware before making a decision to invest in our Class A common stock. This summary does not address all of the risks that we face. These risks include, among others, the following:</w:t>
      </w:r>
    </w:p>
    <w:p>
      <w:pPr>
        <w:spacing w:after="0" w:line="10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volatility of the market price and liquidity risks on shares of our Class A common stock;</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capital structure, including the concentration of voting control associated with our Class B common stock and the automatic conversion of such shares;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maintain key personnel;</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expand our operations, including opening new dispensaries, cultivation and processing facilities and integrating acquisitions;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state and federal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regarding enforcement of cannabis 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compliance with complex and evolving state and local cannabis regulations, including licensing, renewals and enforcement;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constraints on marketing and risks related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tax treatment for cannabis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proposed legislation on our tax liabilities and financial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infringement or misappropriation claims by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potential future U.S. Food and Drug Administration (the “FDA”)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publicity or consumer perception;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acquisitions, dispositions and other strategic transactions, including the failure to realize anticipated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agricultural and environmental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cybersecurity, data privacy, information technology systems and reliance on third-party service providers;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unknown health impacts associated with the use of cannabis and cannabis derivative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litigation, regulatory investigations and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the results of future clinical research;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intense competition in the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maturation of the cannabis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changes in the wholesale and retail prices;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challenging or volatile global economic, political or financial conditions, including inflation, interest rates, supply chain disruptions and reduced consumer spending;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illegal under U.S. federal law, and enforcement of cannabis laws could change in a manner that materially or adversely affects our business.</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engaged in the cannabis industry in the United States, both directly and indirectly, where local and state laws permit such activities. However, investors are cautioned that cannabis is a Schedule I controlled substance pursuant to the United States Controlled Substances Act (21 U.S.C. § 811) (the “CSA”), and is illegal under U.S. federal law. Even in those states in which the use of cannabis has been legalized, its use, cultivation, sale and distribution remains a violation of federal law. Since federal law criminalizing the use of cannabis preempts state laws that legalize its use, strict enforcement of federal law regarding cannabis would harm our business, prospects, results of operation, and financial condition.</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Unlike in Canada, which has federal legislation uniformly governing the cultivation, distribution, sale and possession of medical and adult-use cannabis, for both adult-use and medical purposes, cannabis is largely regulated at the state level in the United States. To date, the cultivation and sale of cannabis for medical uses has been legalized in a significant number of U.S. states, territories, and the District of Columbia, and adult-use cannabis has been legalized in a growing number of jurisdictions. Notwithstanding such state-level legalization, the sale, distribution, and cultivation of cannabis and cannabis-related products remains illegal under U.S. federal law pursuant to the CSA.</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reclassification of cannabis to Schedule III of the CSA, whether through executive action or congressional legislation, would not, in itself, render medical or adult-use cannabis lawful under federal law; further legislative amendments would be required to achieve that result. However, such a reclassification could have other significant legal and regulatory implications for companies operating in the cannabis industry, including potential changes to the application of Section 280E of the Internal Revenue Code, which currently limits the ability of businesses trafficking in Schedule I or Schedule II controlled substances to deduct ordinary business expenses for federal income tax purposes.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and until the United States Congress (“Congress”) amends the CSA with respect to cannabis (and the President approves such amendment), there is a risk that federal authorities may enforce current federal law. If that occurs, we may be deemed to be producing, cultivating or dispensing cannabis and drug paraphernalia in violation of federal law. Any person connected to the cannabis industry in the United States may be at risk of federal criminal prosecution and civil liability in the United States. Any investments may be subject to civil or criminal forfeiture and total loss.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directly or indirectly engaged in the medical and adult-use cannabis industry in the United States where local state law permits such activities. Although our activities are believed to be compliant with applicable state and local laws, strict compliance with state and local laws with respect to cannabis may neither absolve us from liability under United States federal law, nor may it provide a defense to any federal proceeding which may be brought against us. There can be no assurances that the federal government of the United States will not seek to enforce the applicable laws against us. Enforcement of federal law regarding cannabis is a significant risk and would greatly harm our business, prospects, revenue,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the conflicting views between state legislatures and the federal government regarding cannabis, cannabis businesses are subject to inconsistent laws and regulations. In August 2013, the U.S. Department of Justice (the “DOJ”) issued guidance outlining certain federal enforcement priorities relating to cannabis-related offenses in jurisdictions that had implemented regulatory frameworks for cannabis. That guidance was subsequently rescinded, and there is currently no DOJ guidance that limits the discretion of federal prosecutors in determining whether to pursue enforcement actions relating to cannabis activities, notwithstanding the existence of state-level cannabis laws. As a result, federal prosecutors retain broad discretion with respect to the enforcement of federal cannabis laws, and there can be no assurance as to the enforcement posture that will be adopted by the DOJ or U.S. Attorneys at any given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or other action by the U.S. federal government.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federal authorities have the authority to investigate and take enforcement action against businesses involved in cannabis-related activities, including through the seizure or forfeiture of assets. Any such enforcement action could result in, among other things, the shutdown of some or all of our operations, the seizure or forfeiture of our cash or other assets, the loss or non-renewal of state-issued licenses, or the imposition of significant civil or criminal penalties.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federal authorities could allege that we, our subsidiaries, or our directors, officers, employees, managers or investors have aided and abetted violations of federal law, conspired to violate federal law, or otherwise engaged in conduct subject to federal criminal or civil statutes in connection with our cannabis-related activities. Defending against any such proceedings could require substantial financial and management resources and could materially and adversely affect our business, financial condition, results of operations, and prospects, regardless of the outcome. Such enforcement actions could also have adverse consequences for our non-U.S. employees, directors, officers, or investors, including restrictions on travel to or entry into the United States.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Violations of federal laws or regulations, or allegations of such violations, could result in significant fines, penalties, administrative sanctions, settlements, convictions or other adverse consequences, including disgorgement of profits, cessation of business activities or divestiture. Any of these outcomes could materially and adversely affect our reputation, our ability to conduct business, our ownership or operation of cannabis licenses, the listing of our securities on stock exchanges, our financial condition, liquidity and results of operations, or the market price of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state and local regulation of cannabis is complex, evolving, and uncertain.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activities are, and will continue to be, subject to evolving regulation and interpretation by various governmental authorities. The medical and adult-use cannabis industries are subject to various local, state and federal laws, regulations, guidelines, and licensing requirements relating to the manufacture, sale, distribution, management, transportation, storage, and disposal of cannabis, as well as being subject to laws and regulations relating to health and safety, the conduct of operations, and the protection of the environment. There is no assurance that state laws legalizing and regulating the sale and use of cannabis will not be repealed or overturned, or that local governmental authorities will not limit the applicability of state laws within their respective jurisdictions. Changes in applicable laws or regulations, or in their interpretation or enforcement, could restrict our operations, increase our compliance costs, limit our ability to expand into new markets, or adversely affect our business or operations in one or more states.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conflicting views between state legislatures and the federal government regarding cannabis, the rulemaking process applicable to cannabis operators at the state and local level is ongoing and subject to frequent change. Maintaining compliance with applicable regulatory requirements is essential to our operations, and compliance efforts and the process of obtaining and maintaining regulatory approvals can be costly and time-consuming. No assurance can be given that we will obtain or continue to hold all licenses, permits, or approvals required to operate our businesses as currently operated or as proposed to be operated in the future, or that we will be able to complete business transactions, including acquisitions or transfers of licenses or other regulated assets,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local laws and ordinances could restrict our business activity. Although our operations are legal under the laws of the states in which we operate, local governments have the ability to limit, restrict and ban cannabis businesses from operating within their jurisdiction. Land use, zoning, local ordinances and similar laws could be adopted or amended in a manner that materially and adversely affects our business.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Multiple states where medical and/or adult-use cannabis is legal have or are considering imposing special taxes or fees on businesses in the cannabis industry and other states may adopt similar measures in the future. The implementation of special taxes or fees could have a material adverse effect upon our business, prospects, revenue, results of operation and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affected by evolving and dynamic laws and regulations governing the cannabis industry, which could adversely affect our business strategy, operating results, and profitability.</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legal and regulatory framework governing the cannabis industry continues to evolve at the local, state, and federal levels. Even where current laws and regulations permit our operations, future legislative, regulatory or policy changes, or changes in the interpretation or enforcement of existing requirements, could alter the structure, economics or competitive dynamics of the cannabis industry in ways that adversely affect our business. Such changes could require us to modify our business practices, adjust our operating model, or incur significant additional costs to enhance compliance programs, implement new systems or processes, obtain additional licenses or approvals, or respond to new regulatory requirements. Any increase in compliance or operational costs could reduce our operating margins, adversely affect our profitability, or limit our ability to pursue growth opportunities.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Regulatory developments that are perceived as favorable to the cannabis industry, including federal legalization or other reform initiatives, could nevertheless have adverse effects on our business, including developments such as federal legalization, rescheduling, descheduling, the authorization of interstate commerce in cannabis, or other reform initiatives. Such developments could significantly alter the structure, economics and competitive dynamics of the markets in which we operate. For example, federal legalization or the introduction of interstate commerce could reduce or eliminate barriers to entry that currently exist under state-based regulatory regimes, including limitations on the number of licenses and vertical integration requirements. Such changes could permit new market participants, including well-capitalized domestic or international companies with established national distribution networks, recognized brands and substantial financial resources, to enter the cannabis industry. Increased competition could result in pricing pressure, margin compression, consolidation and loss of market share. In addition, the ability to transport cannabis products across state lines could disrupt supply and demand dynamics and adversely affect the economics of vertically integrated, in-state production models. Additionally, if cannabis were reclassified as a Schedule III substance under the CSA, we could face increased competition from new entrants, including large, well-capitalized companies operating in adjacent industries such as pharmaceuticals, tobacco and alcohol, which could further intensify competition and adversely affect our market position, pricing and margins.</w:t>
      </w:r>
    </w:p>
    <w:p>
      <w:pPr>
        <w:spacing w:after="0" w:line="1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face competition from illicit or unlicensed cannabis operators and from products marketed as hemp-derived cannabinoids pursuant to the 2018 Farm Bill. The illicit market for cannabis products remains significant in certain jurisdictions and may offer products at lower prices due to the absence of regulatory compliance costs, testing requirements, licensing obligations or state and local taxes applicable to licensed operators. Similarly, certain hemp-derived products, including products containing delta-8 tetrahydrocannabinol and other hemp-derived cannabinoids, are marketed and sold in certain jurisdictions outside of state-regulated cannabis frameworks based on interpretations of the 2018 Farm Bill. These products may be available through retail channels that are not subject to the same licensing, labeling, age-verification, product testing or taxation requirements applicable to state-licensed cannabis businesses. Competition from illicit operators or from hemp-derived products could place downward pressure on pricing, divert consumers from regulated markets, create consumer confusion, or otherwise adversely affect our sales, margins, market share or competitive position. Changes in federal or state regulation or enforcement practices relating to illicit cannabis activity or hemp-derived products may mitigate or exacerbate these competitive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timing, scope and impact of future regulatory developments and enforcement priorities are difficult to predict. Our failure to anticipate or adapt to changes in the regulatory environment or competitive landscape could impair our ability to execute our business strategy, negatively affect our financial condition or results of operations, or otherwise materially and adversely affect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regulatory agencies may require us to post bonds, maintain large insurance policies, or post significant fees.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a risk that a greater number of state regulatory agencies will begin requiring entities engaged in certain aspects of the legal cannabis industry to post a bond or significant fees when applying, for example, for a dispensary license or renewal as a guarantee of payment of sales and franchise taxes. We are not able to quantify at this time the potential scope of such bonds or fees in the states in which we currently operate or may in the future operate. Any such bonds, insurance requirements or fees, if material, could have a negative impact on our business, financial condition, results of operations, or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heightened scrutiny by Canadian regulatory authorities.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Class A common stock is traded on the CSE. Our business, operations and investments are in the United States, and any future business, operations or investments, may become the subject of heightened scrutiny by regulators, stock exchanges and other authorities in Canada and the United States. As a result, we may be subject to significant direct and indirect interaction with public officials. There can be no assurance that such scrutiny will not result in the imposition of restrictions or conditions on our ability to operate, invest, or access capital markets in the United States or other jurisdictions.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2017, there were concerns that the Canadian Depository for Securities Limited, through its subsidiary CDS Clearing and Depository Services Inc. (“CDS”), Canada’s central securities depository responsible for clearing and settling trades in the Canadian equity, fixed income and money markets, would refuse to settle trades for cannabis issuers that have investments in the United States. To date, CDS has not implemented this policy.</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8, 2018, following discussions with the Canadian Securities Administrators and recognized Canadian securities exchanges, the TMX Group, which is the owner and operator of CDS, announced the signing of a Memorandum of Understanding (“MOU”) with Aequitas NEO Exchange Inc., the CSE, the Toronto Stock Exchange and the TSX Venture Exchange. The MOU outlines the parties’ understanding of Canada’s regulatory framework applicable to the rules, procedures and regulatory oversight of the exchanges and CDS as it relates to issuers with cannabis-related activities in the United States.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MOU indicated that there were no plans to prohibit the clearing and settlement of securities of issuers with cannabis-related activities in the United States, there can be no assurance that this regulatory approach will continue in the future. If clearing or settlement of our Class A common stock through CDS were restricted or prohibited while our shares are listed on a Canadian stock exchange, the liquidity of our Class A common stock could be materially and adversely affected, and holders of our shares could experience difficulty effecting or settling trades through the facilities of the applicable Canadian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cannabis license ownership may constrain our growth and operational flexibility.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states, cannabis laws and regulations limit not only the number and types of licenses issued, but also the number of licenses or types of licenses that a single person or entity may own or control. In addition, some jurisdictions require that certain qualified applicants or individuals participate in the ownership or control of licensed entities.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ownership limitations may restrict our ability to expand our operations or consolidate licenses within a given state and may require us to rely on alternative arrangements, such as wholesale relationships, management or support services agreements, joint ventures, or other contractual structures, to participate in certain markets. Such arrangements may provide us with less control over operations, reduced economic benefits, increased regulatory complexity, or greater exposure to disputes or changes in regulatory interpretation.</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ownership limitations are expanded, enforced more strictly, or applied in a manner that restricts the use of these alternative structures, our ability to grow our business in certain states could be materially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product offerings and dispensary services may be limited.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introduce or expand our cannabis product offerings and dispensary services, we may incur losses or otherwise fail to enter certain markets successfully. Our expansion into new markets may place us in competitive and regulatory environments with which we are unfamiliar and involve various risks, including the need to invest significant resources and the possibility that returns on those investments will not be achieved for several years, if at all. In pursuing new product offerings or dispensary services, we may incur significant expenses and face various other challenges, including the need to expand our work force and management personnel, and comply with complex and evolving cannabis regulations applicable to the new markets. We may also be unable to successfully demonstrate the value of new offerings to consumers, and failure to do so would compromise our ability to successfully expand these additional revenue streams.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licensing relating to supply, supply chain and market constraints.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Cannabis laws and regulations in the states in which we operate limit the number and types of licenses that may be issued for dispensaries, cultivation facilities and production operations. The availability, timing and issuance of licenses by category may be limited, delayed or denied, and the number of licenses granted in each operating category may not be balanced across the supply chain. As a result, licensing constraints may lead to mismatches between cultivation, production and retail capacity, which can adversely affect product availability, inventory levels, pricing and supply chain efficiency. Such imbalances could result in market volatility, supply disruptions or pricing pressures, any of which could materially and adversely affect our business, financial condition, results of operations or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FDA or Bureau of Alcohol, Tobacco, Firearms and Explosives (“ATF”) regulation.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Cannabis remains a Schedule I controlled substance under U.S. federal law. If cannabis were reclassified under the Controlled Substances Act, including to Schedule II or Schedule III, the FDA could assert regulatory authority over cannabis or cannabis-derived products pursuant to the Food, Drug, and Cosmetic Act of 1938. In such circumstances, the FDA could impose additional requirements relating to, among other things, the manufacturing, processing, labeling, marketing or sale of cannabis or cannabis-related products. The scope, timing and applicability of any such regulatory framework are uncertain, and compliance with any new or expanded FDA requirements could be costly, time-consuming or operationally burdensome, or could otherwise adversely affect our business, financial condition, results of operations or prospects if we are unable to comply or if such regulations materially restrict our activities.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it is possible that cannabis or certain cannabis products could become subject to regulation by other federal authorities, including the ATF, which could impose additional rules or restrictions relating to the manufacture, distribution, transportation, sale, or advertising of cannabis products. The impact of any such regulatory developments is uncertain and could materially and adversely affect our business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that involve money laundering, financial record-keeping and proceeds of crime, including the U.S. Currency and Foreign Transactions Reporting Act of 1970 (the “Bank Secrecy Act”) as amended by Title III of the Uniting and Strengthening America by Providing Appropriate Tools Required to Intercept and Obstruct Terrorism Act of 2001 (which we refer to as the Patriot Act), and any related or similar rules, regulations or guidelines, issued, administered or enforced by governmental authorities in the United States. Since the cultivation, manufacture, distribution and sale of cannabis remains illegal under the CSA, banks and other financial institutions providing services to cannabis-related businesses risk violation of federal anti-money laundering statutes (18 U.S.C. §§ 1956 and 1957) and the Bank Secrecy Act, among other applicable federal statutes. Accordingly, pursuant to the Bank Secrecy Act, banks or other financial institutions that provide a cannabis business with a checking account, debit or credit card, small business loan or any other service could be criminally prosecuted for willful violations of money laundering statutes, in addition to being subject to other criminal, civil and regulatory enforcement actions.</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Banks often refuse to provide banking services to businesses involved in the cannabis industry due to the present state of the laws and regulations governing financial institutions in the U.S. The lack of banking and financial services presents unique and significant challenges to businesses in the cannabis industry.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2014, the FinCEN issued the FinCEN Memorandum providing instructions to banks seeking to provide services to cannabis-related businesses. The FinCEN Memorandum provides guidance to financial institutions regarding the provision of services to cannabis-related businesses but does not provide any safe harbor or legal defense from regulatory or criminal enforcement actions.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FinCEN Memorandum does not provide any safe harbors or legal defenses from examination or regulatory or criminal enforcement actions by the DOJ, FinCEN, or other federal regulators. As a result, many financial institutions remain unwilling to provide banking services to cannabis-related businesses, and there can be no assurance that access to banking or other financial services will improve.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26, 2023, the Secure and Fair Enforcement Banking Act (the “SAFE Banking Act”) was reintroduced in the House of Representatives and the Senate. Legislation such as the SAFE Banking Act and the SAFER Banking Act has been introduced to address banking access for state-legal cannabis businesses, but there can be no assurance that such legislation will be enacted or will become law in its current form, if at all.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written, the SAFE Banking Act and SAFER Banking Act would allow financial institutions to provide their services to state-legal cannabis clients and ancillary businesses serving state-legal cannabis businesses without fear of federal sanctions. There is no guarantee either the SAFE Banking Act, the SAFER Banking Act, or similar legislation will become law in their current forms, if at all.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proceeds of crime statutes.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laws and regulations relating to money laundering, financial recordkeeping and proceeds of crime in the United States and Canada, including: the Bank Secrecy Act, as amended by Title III of the Patriot Act, the Proceeds of Crime (Money Laundering) and Terrorist Financing Act (Canada), and other applicable rules, regulations, and guidance issued, administered or enforced by governmental authorities in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activities or proceeds thereof were determined to violate applicable money laundering or proceeds-of-crime laws, such proceeds could be treated as proceeds of unlawful activity, which could materially and adversely affect us, including by restricting our ability to declare or pay dividends or make other distributions, and subjecting us to civil or criminal penalties.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U.S. tax provisions related to controlled substances.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Limits on U.S. deductibility of certain expenses may have a material adverse effect on our financial condition, results of operations and cash flows. Section 280E (“Section 280E”) of the United States Internal Revenue Code of 1986, as amended, prohibits businesses from deducting certain expenses associated with the trafficking of controlled substances (within the meaning of Schedule I and II of the CSA). The IRS has applied Section 280E broadly in tax audits against various cannabis businesses in the U.S. that are permitted under applicable state laws, seeking substantial sums in tax liabilities, interest, and penalties resulting from the underpayment of taxes due to the lack of deductibility of otherwise ordinary business expenses the deduction of which is prohibited by Section 280E. Although the IRS issued a clarification allowing the deduction of certain expenses that can be categorized as cost of goods sold, the scope of such items is interpreted very narrowly, and the bulk of operating costs and general administrative costs are not permitted to be deducted. While there are currently several pending cases before various administrative and federal courts challenging these restrictions, there is no guarantee that these courts will issue an interpretation of Section 280E that is favorable to cannabis businesses.</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filed amended tax returns with the IRS on behalf of itself and its subsidiaries claiming refunds of tax for 2020 and 2021 and a refund and/or reduction of tax for 2022 which had been incurred as a result of the application of Section 280E based on a legal interpretation that Section 280E does not apply to solely intrastate cannabis-related business activities. The Company took this position for the 2023 and 2024 filing years and intends to continue to take this position for the 2025 filing year. There is no guarantee that the IRS will not challenge our refund request and prevail in such challenge.</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tax filing positions were to be challenged by federal, state and local or foreign tax jurisdictions, we may not be wholly successful in defending our tax filing positions. We record reserves for unrecognized tax benefits based on our assessment of the probability of successfully sustaining tax filing positions. We, therefore, analyze and consider the appropriateness of recording reserves for unrecognized tax benefits each quarter. Management exercises significant judgment when assessing the probability of successfully sustaining tax filing positions, and in determining whether a contingent tax liability should be recorded and, if so, estimating the amount. If our tax filing positions are successfully challenged, payments could be required that are in excess of reserved amounts or we may be required to reduce the carrying amount of our net deferred tax asset, either of which result could be significant to our financial condition or results of operations.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21, 2024, the United States Department of Justice published a notice of proposed rulemaking with the Federal Register to initiate a formal rulemaking process to consider rescheduling cannabis under the CSA. As of the date of this filing, no final rule has been adopted, and cannabis remains classified as a Schedule I controlled substance under federal law. In June 2024, the IRS issued a press release stating that, until any final rule becomes effective, cannabis remains subject to the limitations of Section 280E. The IRS further stated that taxpayers seeking refunds related to Section 280E by filing amended returns are not entitled to refunds or payments and that the IRS is taking steps to address such claims. In December 2025, the President of the United States issued an executive order directing the Attorney General and other federal agencies to complete and, where appropriate, expedite the administrative rulemaking process to reconsider marijuana’s classification under the CSA. The executive order does not amend the CSA or otherwise change marijuana’s classification, and cannabis remains a Schedule I controlled substance unless and until a final rule is adopted or Congress amends the CSA. There can be no assurance as to the timing, outcome or scope of any rescheduling process or whether any such action would ultimately result in changes to the application of Section 280E. The Company is currently engaged with certain state and federal departments of revenue in respect to certain of the Company’s income tax returns that have been selected for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and activities are subject to extensive regulation by state and local governmental authorities. Our ability to operate our existing facilities, expand into new markets, maintain our current operations and complete acquisitions or other strategic transactions is contingent, in part, upon obtaining, maintaining, renewing and transferring required licenses, permits and other regulatory approvals.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Regulatory authorities have broad discretion in administering and enforcing applicable licensing and approval regimes, including with respect to the timing, scope and conditions of such approvals. As a result, there can be no assurance that required approvals will be obtained or maintained on acceptable terms or within anticipated timeframes, or at all.</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Delays in obtaining, or failures to obtain or maintain, required licenses, permits, or approvals — including approvals related to the acquisition or transfer of licensed operations — may prevent or delay the commencement or continuation of operations, restrict our ability to pursue growth opportunities, require modifications to our business plans, increase compliance costs, or result in the loss of existing licenses or market access. Any such delays, conditions or failures could materially adversely affect our business, financial condition, results of operations, or prospects.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a limited number of states, and adverse developments in any of those states could have a disproportionate impact on our business.</w:t>
      </w:r>
    </w:p>
    <w:p>
      <w:pPr>
        <w:spacing w:after="0" w:line="1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our operations, revenues and assets are concentrated in a limited number of U.S. states, including Illinois, New Jersey, Massachusetts, Michigan, Maryland, Ohio, and Pennsylvania. As a result, our business, financial condition, results of operations, and prospects are highly dependent on the regulatory, economic, political, and competitive conditions in those jurisdictions.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Adverse developments in any of these states, including regulatory, legislative, economic, political, or competitive changes, may have a disproportionate impact on our operations and financial performance compared to companies with more geographically diversified operations. Because our assets and operations are capital-intensive and often highly specific to particular states and licenses, we may be unable to readily redeploy capital or operations to other jurisdictions on acceptable terms, or at all.</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adverse developments affecting even a single significant market could have a material adverse effect on our business, financial condition, results of operations, and cash flows, and could impair our ability to execute our growth strategy.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enforcing our contracts.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our contracts involve cannabis and other activities that are currently illegal under U.S. federal law and the laws of certain other jurisdictions, we may face difficulties in enforcing our contracts in U.S. federal courts and certain state courts.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courts have determined that contracts relating to state-legal cannabis activities are unenforceable on the grounds that they are illegal under U.S. federal law and therefore void as a matter of public policy.</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notwithstanding compliance with applicable state law, there remains uncertainty as to whether contracts involving cannabis-related activities will be enforceable in certain jurisdictions. We may not be assured of having a legal remedy in the event of a breach of contract. If borrowers fail or refuse to repay loans and we are unable to legally enforce our contracts, we may suffer substantial losses for which we have no legal remedy. The potential inability of us to enforce any of our contracts could have a material adverse effect on our business, revenues, operating results,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trademark and intellectual property protection.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long as cannabis remains illegal under U.S. federal law as a Schedule I controlled substance pursuant to the CSA, the benefit of certain federal laws which may be available to most businesses, such as federal trademark protection, may not be available to us. Because producing, manufacturing, processing, possessing, distributing, selling and using cannabis is illegal under the CSA, the United States Patent and Trademark Office generally will not permit the registration of trademarks that directly identify cannabis products or services that are unlawful under U.S. federal law. As a result, our intellectual property may never be adequately or sufficiently protected against use or misappropriation by third parties. In addition, since the regulatory framework of the cannabis industry is in a constant state of flux, there can be no assurance that we will be able to obtain or maintain effective intellectual property protection on a federal, state, or local level.</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infringement or misappropriation of our intellectual property could damage its value and limit our ability to compete. We may have to engage in litigation to protect the rights to our intellectual property, which could result in significant litigation costs and require a significant amount of our time.</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Competitors may also harm our sales by designing products that mirror our products or processes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find it necessary to bring infringement or other actions against third parties to seek to protect our intellectual property rights. Litigation of this nature, even if successful, is often expensive and time-consuming to prosecute and there can be no assurance that we will have the financial or other resources to enforce our rights or be able to prevent other parties from developing similar products or processes or designing around our intellectual property.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constraints on marketing our products.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 development of our business and operating results may be adversely affected by applicable restrictions on sales and marketing activities imposed by regulatory bodies. Certain of the states in which we operate have enacted strict regulations regarding marketing and sales activities relating to cannabis products.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results of future clinical research.</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While certain clinical research and observational studies regarding cannabis and isolated cannabinoids have been conducted, additional double-blind placebo-controlled clinical trials in the United States are needed to demonstrate potential therapeutic benefits, determine safe and effective dosing, and evaluate appropriate product formats for specific medical conditions. Although various articles, reports and studies have addressed the potential medical uses and effects of cannabis, future research and clinical trials may prove such statements to be incorrect, or could raise concerns regarding, and perceptions relating to, cannabis.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the federal illegality of cannabis and associated limits on our ability to properly fund and conduct research on cannabis, together with the lack of comprehensive FDA oversight of cannabis products, means there is limited information about the long-term safety and efficacy of cannabis in its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lack access to U.S. bankruptcy protections.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cannabis is illegal under U.S. federal law, and bankruptcy is a strictly federal proceeding, many courts have denied cannabis businesses federal bankruptcy protections, thus making it very difficult for lenders to recoup their investments in the cannabis industry in the event of a bankruptcy. If we were to seek protection from creditors pursuant to applicable bankruptcy or insolvency laws, there is no guarantee that U.S. federal bankruptcy protections would be available to our United States operations, which would have a material adverse effect on us, our creditors, and other stakeholders. While state-level receivership options do exist in some states as an alternative to bankruptcy, the efficacy of these alternatives cannot be guaranteed.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entity that conducts business in the cannabis industry, we may be subject to federal and state forfeiture laws (criminal and civil) that permit the government to seize the proceeds of criminal activity. Civil forfeiture laws could provide an alternative enforcement mechanism for the federal government, state or local authorities that seek to enforce applicable laws even where criminal liability may be difficult to establish.</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Individuals may be required to forfeit property considered to be from proceeds of crime even if the individual is not convicted of a criminal offense, and the standard of proof in a civil forfeiture matter is lower than the burden in a criminal matter. Depending on the applicable law, whether federal or state, the federal government or the state, as applicable, may be required to prove that the money or property at issue is proceeds of a crime only by either clear and convincing evidence or a mere preponderance of the evidence.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investors, employees, officers, or other stakeholders located in jurisdictions where cannabis remains illegal may be subject to enforcement risks under applicable federal or state laws, including the potential forfeiture of assets or proceeds. Many states remain able to take action to prevent the proceeds of cannabis businesses from entering their state. Because state legalization is relatively new, it remains to be seen whether these states would take such action and whether a court would approve 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physical security risks related to our operations and cash handling.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operations involve the cultivation, processing, distribution and retail sale of cannabis products, which may make our facilities, inventory and equipment targets for theft, robbery or other security breaches. Break-ins or other security incidents at our cultivation, processing or dispensary locations could result in the loss of cannabis plants, finished products, equipment or other assets and could disrupt operations.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because portions of the cannabis industry continue to operate with limited access to traditional banking services, our business involves the handling and transportation of cash. The movement and storage of cash and cannabis products expose us to risks of theft, robbery and employee misconduct. While we have implemented security measures designed to mitigate these risks, there can be no assurance that such measures will be sufficient to prevent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significant security incident involving our facilities, inventory or cash could result in financial losses, increased operating costs, regulatory scrutiny, reputational harm or business interruption, any of which could have a material adverse effect on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holding company and substantially all of our assets consist of the capital stock of our subsidiaries operating in our seven geographic markets: Illinois, Maryland, Massachusetts, Michigan, New Jersey, Ohio, and Pennsylvania. As a result, our stockholders are subject to the risks attributable to our subsidiaries and the law, rules and regulatory schemes of each jurisdiction in which they operate. As a holding company, we conduct substantially all of our business through our subsidiaries, which generate substantially all of our revenues. Consequently, our cash flows and ability to fund operations, service debt, or pursue current or desirable future growth or enhancement opportunities are dependent on the earnings of our subsidiaries and the distribution of those earnings to us. The ability of these entities to pay dividends and other distributions depends on their operating results and is subject to applicable laws and regulations, including requirements to maintain solvency and capital standards, as well as contractual restrictions contained in the instruments governing their indebtedness. In the event of a bankruptcy, liquidation or reorganization of any of our material subsidiaries, holders of indebtedness and trade creditors would generally be entitled to payment of their claims from the assets of those subsidiaries before any assets are available for distribution to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adversely affect our business, financial condition, and results of operations.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face intense competition from other companies operating in the cannabis industry, some of which have longer operating histories, greater financial resources, broader geographic footprints, and more extensive manufacturing, retail and marketing experience than we do. Increased competition from larger and better-capitalized competitors could materially and adversely affect our business, financial condition, and results of operations.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the cannabis industry remains relatively early-stage and continues to evolve, we also face competition from new entrants and from existing operators expanding into additional markets. As consumer demand for cannabis products increases, competition for market share, qualified personnel, real estate, and other strategic assets is expected to intensify. In addition, consolidation within the industry may further increase competitive pressure by enabling certain competitors to achieve greater scale, operational efficiencies and access to capital.</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competitive landscape varies significantly by state and is influenced by differing regulatory frameworks. In certain jurisdictions with fewer limitations on the number of licenses or cultivation capacity, increased supply has at times placed pressure on wholesale and retail pricing, which may adversely affect margins. In limited-license states, competition for licenses and operational scale may constrain growth opportunities and increase operating costs. To remain competitive across these varied environments, we must continue to invest significant resources in product development, marketing, talent acquisition and retention, and operational infrastructure. We may not be able to sustain these investments at levels sufficient to compete effectively, which could materially and adversely affect our business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the acquisition and leasing of properties suitable for cannabis operations may adversely affect our business.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Competition for the acquisition and leasing of properties suitable for the cultivation, production and sale of medical and adult-use cannabis may limit our ability to secure desirable locations or increase the costs associated with doing so, which could adversely affect our operating results and financial condition.</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compete for the acquisition and leasing of such properties with entities engaged in agriculture, real estate investment, consumer products manufacturing and retail activities, including corporate agriculture companies and other cannabis operators. These competitors may prevent us from acquiring or leasing suitable properties, require us to pay higher prices, or result in less favorable lease terms. Some competitors may have greater financial or operational resources and may be willing to pay more for certain assets or accept greater risk than we believe can be prudently managed.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increased investor participation, industry consolidation and changes in regulatory frameworks may further intensify competition for suitable properties and increase pricing. If we are unable to acquire or lease properties on acceptable terms, or if we incur higher real estate costs, our profitability, cash flows, and ability to grow our operations could be materially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medical and adult-use cannabis industry has continued to evolve, it remains relatively immature compared to many other regulated industries, and there are limited established operators with long-term operating histories or widely adopted best practices. Similarly, there is limited information about comparable companies available for potential investors to review in deciding about whether to invest in us.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and investors should consider, among other factors, our prospects for success considering the risks and uncertainties encountered by companies operating in evolving and highly regulated industries.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adversely, affect our financial condition, results of operations, and prospects, and could impair the value of the shares of Class A common stock .</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agricultural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Medical and adult-use cannabis is an agricultural product. There are risks inherent in the cultivation business, such as insects and pests, plant diseases, mold, crop contamination, genetic variability, equipment failures, power outages, and other environmental or operational risks. Although the products are usually grown indoors or in greenhouses under climate-controlled conditions, with conditions monitored, there can be no assurance that biological, environmental or operations factors will not have a material adverse effect on the production of our products and, consequentially, our business, financial condition, or results of our operations.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cultivation operations depend on the consistent performance of specialized equipment, utilities and inputs, including lighting, HVAC systems, irrigation, nutrients, and electricity. Disruptions to any of these systems, whether due to mechanical failure, human error, supply shortages or external events, could adversely affect crop yields, product quality, or production timelines. Variability in crop yields or product quality may result in increased costs, reduced revenues, inventory write-downs, or an inability to meet customer demand.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rising or volatile energy costs and dependent on inputs.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cannabis cultivation operations consume considerable energy, which makes them vulnerable to rising energy costs. Accordingly, rising or volatile energy costs may adversely affect our business, our margins and our ability to operate profitably.</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business is dependent on a number of key inputs and their related costs, including raw materials and supplies related to our growing operations, as well as electricity, water, and other utilities. Any significant interruption or negative change in the availability, cost or reliability of these inputs could materially impact our financial condition and operating results. Macroeconomic conditions, geopolitical events, supply chain disruptions, inflationary pressures, and changes in utility pricing or availability may increase the cost of energy, materials, or transportation or limit access to critical inputs. Any inability to secure required supplies and services, or to do so on acceptable terms, could have a materially adverse impact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environmental risks related to properties used in our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not encounter hazardous conditions, such as asbestos or lead, at the sites of the real estate used to operate our businesses, which may delay the development of our businesses. Upon encountering a hazardous condition, work at our facilities may be suspended. If we receive notice of a hazardous condition, we may be required to correct the condition prior to continuing construction or operations. If additional hazardous conditions were present, it would likely delay development or ongoing operations and may require significant expenditure of our resources to correct the conditions. Such conditions could have a material impact on our business, financial condition, or results of operations. In addition, environmental laws, and regulations may impose liability for investigation or remediation of contamination regardless of fault, and compliance with such requirements could increase operating costs or limit the use of certain properties.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an adverse effect on our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several years, changing weather patterns and climatic conditions due to natural and man-made causes have added to the unpredictability and frequency of extreme weather events such as severe weather, heat waves, wildfires, flooding, hailstorms, snow storms, and the spread of disease and insect infestations. These events could damage, destroy or hinder the operations at our physical facilities, or the facilities of our suppliers or customers, and adversely affect our financial results as a result of decreased production output, increased operating costs or reduced availability of transportation.</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Government action to address climate change, greenhouse gas emissions, water usage, and land use may result in the enactment of additional or more stringent laws and regulations, which could require us to incur increased compliance costs, capital expenditures, or operational constraints, or otherwise adversely affect our financial condition.</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increasingly our employees, customers and investors expect that we minimize the negative environmental impacts of our operations. Failure to mitigate or adequately respond to the risks of climate change or evolving environmental expectations could result in additional regulatory scrutiny, loss of team members, customers and investors, and an adverse impact on our brand and reputation.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inputs, suppliers, and skilled labor.</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dependent on a number of key inputs and their related costs, including raw materials and supplies related to cultivation operations, as well as electricity, water, and other local utilities. Any significant interruption or negative change in the availability, cost or reliability of the supply chain for key inputs, or natural or other disruptions to power or other utility systems,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commercially reasonable terms, could have a materially adverse impact on our business, prospects, revenue, results of operation and financial condition.</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compete and grow will also depend on our access, at a reasonable cost and in a timely manner, to skilled labor, equipment, parts, and components. We may experience difficulty sourcing such labor, equipment, parts or components due to supply chain constraints, labor market conditions, or increased competition. Any such challenges could have an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attract, retain and motivate key personnel.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our ability to manage anticipated future growth is dependent upon the ability, expertise, judgment, discretion, and good faith of our senior management team and other key personnel. Although we have invested in succession planning, the loss of one or more members of our senior management team or other key personnel could nevertheless have a material adverse effect on our business. If one or more of our senior management team or other key personnel are unable or unwilling to continue in their present positions, we may not be able to replace them readily, if at all, or on acceptable terms. We may also incur additional expenses to recruit and retain new key personnel.</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also depends on our ability to continue to attract, motivate, and retain a large number of highly qualified personnel in order to achieve business results. There can be no assurance that we will be able to attract or retain highly qualified personnel. We face significant competition for skilled personnel in our industries. In particular, if the cannabis industry continues to grow, demand for personnel may become more competitive, which could increase labor costs and make it more difficult to attract, hire and retain qualified employees.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experience changes in personnel as we continue to develop and scale our operations. Changes and turnover of employees present particular challenges to the extent they involve the departure of knowledgeable and experienced personnel and the resulting need to identify and train existing or new candidates, which may result in unexpected costs, reduced productivity, and difficulties with respect to internal processes and controls.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unknown health impacts associated with the use of cannabis and cannabis derivative products.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limited scientific research regarding the short-term and long-term health effects of cannabis and cannabis-derived products, whether used for recreational or medicinal purposes. In particular, there are relatively few long-term, large-scale or longitudinal studies assessing the potential health impacts of cannabis use, dosage, potency, frequency of consumption, methods of administration or interactions with other substances.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scientific research and public health understanding of cannabis continue to evolve, future studies, or regulatory reviews may identify previously unknown or unanticipated adverse health effects associated with cannabis use. Any such findings could result in increased regulatory scrutiny, restrictions on product formulations, labeling, potency, advertising or distribution, product recalls, or changes in consumer perception and demand.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adverse health effects, whether real or perceived, could expose us to product liability claims, class action litigation, governmental investigations or enforcement actions, and increased compliance and insurance costs, regardless of the ultimate merit of such claims. The occurrence of any of the foregoing could materially and adversely affect our business, financial condition, results of operations and reputation.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an inherent risk of product liability and similar claims.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or unforeseeable adverse reactions resulting from human consumption of our products alone or in combination with other medications or substances could occur. We may be subject to various product liability claims, including, among others, claims that our products caused injury or illness, contained inadequate instructions for use, or included inadequate warnings concerning possible side effects or interactions with other substances. As an agricultural product, cannabis may exhibit natural variability in quality, potency and other characteristics, and despite quality control, testing and labeling processes, we may be subject to claims alleging defects, contamination, mislabeling, or failure to meet expected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product liability claim, product recall,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products.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may depend on our ability to use and develop new extraction technologies, recipes, know-how and new strains of cannabis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or restrict the development, manufacture, distribution, or sale of certain products. Any of the foregoing could materially and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voluntarily or involuntarily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In addition, product recalls may result in increased scrutiny by state or local regulatory authorities and could require additional management attention, compliance efforts, legal fees, and other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the wholesale and retail prices could result in earnings declines.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cannabis industry is a margin-based business in which gross profits depend on the excess of sales prices over costs. Consequently, profitability is sensitive to shifts in wholesale and retail prices caused by changes in supply (which itself depends on other factors such as new entrants into retail markets, new entrants into the cultivation markets or cultivation expansions by existing operators, weather, fuel, equipment and labor costs, shipping costs, economic situation and demand), taxes, government programs and policies for the cannabis industry (including price controls and wholesale price restrictions that may be imposed by government agencies responsible for the sale of cannabis), and other market conditions, all of which are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Wholesale and retail prices for cannabis products may decline due to increased competition, oversupply in certain markets, the entry of new operators, expansions by existing cultivators or retailers, changes in consumer preferences, and pricing and promotional activity by competitors. In some jurisdictions, relatively low barriers to expansion or the absence of meaningful limits on cultivation capacity or retail density have contributed to periods of excess supply and downward pressure on prices. Our operating income may be significantly and adversely affected by a decline in the price of cannabis and will be sensitive to changes in the price of cannabis and the overall condition of the cannabis industry, as our profitability is directly related to the price of cannabis. In addition, we may be unable to offset declines in wholesale or retail prices through corresponding reductions in operating costs, particularly where costs are fixed or increase due to inflation, labor availability, energy prices or regulatory compliance obligations. There is currently not an established market price for cannabis and the price of cannabis is affected by numerous factors beyond our control. Pricing may fluctuate significantly over short periods of time, and sustained price declines, increased discounting or promotional activity, or an inability to pass increased costs on to customers may have a material adverse effect on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unfavorable publicity or consumer perception.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 lines. The medical and adult-use cannabis industry is highly dependent upon consumer perception regarding the safety, efficacy and quality of the cannabis produced.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affected.</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Consumer perception of our current or proposed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on us. Although we use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our products are e-vapor or “vape” products. The use of vape products and vaping may pose health risks. Public health authorities, including the Centers for Disease Control and Prevention, have previously identified potential health concerns associated with vaping and inhaled products. Clinical studies regarding the long-term safety and efficacy of vape products have not been submitted to or approved by the FDA. Adverse findings, regulatory investigations, litigation, media attention, and other publicity regarding the consumption of vape or other inhaled products, including adverse publicity regarding underage use of vape or other inhaled products, may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highly dependent on the Ascend brand identity and our reputation, which is critical to our ability to attract and retain customers and consumers. The importance of our brand recognition and reputation is expected to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2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consumers and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products from competitors’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w:t>
      </w:r>
    </w:p>
    <w:p>
      <w:pPr>
        <w:spacing w:after="0" w:line="1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our services or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publicity, including with respect to events or activities attributed to us, the cannabis industry generally, our employees, partners, or others associated with any of these parties; and</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products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pharmaceutical, synthetic cannabinoid and other alternative products.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pharmaceutical industry and other well-capitalized companies may seek to compete with or displace traditional cannabis products through the development, approval and commercialization of synthetic cannabinoids or other cannabis-derived or cannabis-inspired products intended to replicate or emulate the effects of organic cannabis. Such products may be subject to different regulatory regimes, benefit from greater physician acceptance, insurance reimbursement, or broader distribution channels, and may be perceived by consumers, regulators or healthcare providers as more consistent, standardized, or safer than plant-based cannabis products.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synthetic or pharmaceutical alternatives gain widespread acceptance or regulatory preference, demand for organic cannabis products could decline, which could reduce industry growth, place downward pressure on pricing and margins, and adversely affect the volume and profitability of our operations. In addition, advances in technology, formulation, delivery methods, or manufacturing processes by competitors could reduce the competitive differentiation of our products or require us to make significant investments to remain competitive. Any of the foregoing could materially adversely affect our business, results of operations, financial condition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increased labor costs and operational constraints as a result of union activity.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Labor unions are actively seeking to organize workforces within the cannabis industry. As of December 31, 2025, approximately 33% of our workforce was represented by labor organizations for purposes of collective bargaining, pursuant to thirteen collective bargaining agreements with local chapters of labor unions, with expiration dates ranging from May 2026 to December 2028. Although we believe that our relationship with our employees and union representatives is constructive, and we have not experienced any material work stoppages, there can be no assurance that labor disruptions, including strikes or work stoppages, will not occur in the future. Union activities and collective bargaining obligations may increase our labor costs, limit our operational flexibility, or impose additional requirements, which could adversely affect our business, profitability, and ability to reinvest in growth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regularly engage with labor organizations that may seek to represent additional segments of our workforce, and it is possible that employees at additional retail, cultivation or manufacturing locations may become unionized in the future. We cannot predict the outcome of future collective bargaining negotiations, whether new or existing agreements may result in increased compensation, benefits or other costs, or whether we will be able to meet union requirements without adversely affecting our financial condition. Labor unions may also limit our flexibility in dealing with our workforce.</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deterioration in our labor relations, work stoppages, or reduced workforce flexibility could disrupt operations, delay production or distribution, strain customer relationships, and result in lost revenue, which could materially and adversely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the cannabis market continues to mature, our products may become obsolete, less competitive, or less marketable.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the cannabis market and related products continue to be rapidly evolving, both domestically and internationally, we may be unable to anticipate and/or respond to developments in consumer preferences, product formats, regulatory requirements, or competitive dynamics in a timely and cost-efficient manner. The process of developing our products is complex and requires significant costs, development efforts, and reliance on third-party commitments. Our failure to develop new products or to adapt our existing products, processes or technologies to evolving market conditions, and the potential disuse or reduced market acceptance of our existing products could adversely affect our business, financial condition and operations.</w:t>
      </w:r>
    </w:p>
    <w:p>
      <w:pPr>
        <w:spacing w:after="0" w:line="1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competitors may introduce new or alternative product formats, formulations or delivery methods that gain greater market acceptance than our products, which could reduce demand for certain of our offerings.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Implementation of certain new technologies used to support product development, manufacturing efficiency, or consumer engagement, including automation, data analytics, or other emerging technologies, may have unintended consequences due to their limitations, potential manipulation, or our failure to use them effectively. Our success will depend, in part, on our ability to continually invest in research and development and process improvements to maintain competitive product offerings, and to enhance our existing technologies and products in a cost-effective manner. There can be no assurance that these efforts will be successful, timely or commercially viable, and any failure to do so could materially and adversely affect our business, financial condition, results of operations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shares of Class A common stock and, consequently, your ability to achieve a return on your investment will depend on appreciation in the price of our shares of Class A common stock.</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 on our shares of Class A common stock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shares of Class A common stock will depend upon any future appreciation in their value. Our shares of Class A common stock may not appreciate in the short term or long term or even maintain the price at which such shares of Class A common stock were purchased. Accordingly, an investment in our shares of Class A common stock may not be suitable for all investors. Investors should be prepared to bear the risk of loss of some or all of their investment and should have no need for immediate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capital structure and voting control may cause unpredictability in the price of our Class A common stock.</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Abner Kurtin, one of our founders, a director, and our Executive Chairman, and Frank Perullo, one of our founders, a director and our President, have the ability to exercise significant voting power with respect to our outstanding shares because of the shares of Class B common stock that are held by AGP Partners, LLC (“AGP”), an entity which Mr. Kurtin and Mr. Perullo control. While shares of Class A common stock are entitled to one vote per share, shares of Class B common stock are entitled to 1,000 votes per share. Through AGP, Mr. Kurtin and Mr. Perullo controlled approximately 14% of our total issued and outstanding shares and approximately 35% of the voting power attached to all of our issued and outstanding shares as of December 31, 2025. Each share of our Class B common stock is convertible at any time at the option of the holder into one share of Class A common stock and, in addition, will automatically convert into one share of Class A common stock on May 4, 2026 (the “Final Conversion Date”), in accordance with our certificate of incorporation. Future transfers by holders of Class B common stock will generally result in those shares converting to Class A common stock, subject to limited exceptions described in our certificate of incorporation. Upon the automatic conversion of the Class B common stock on the Final Conversion Date, Mr. Kurtin and Mr. Perullo will no longer have super-voting rights, and the concentration of voting control currently held by the holders of Class B common stock will be eliminated. This conversion may result in a significant shift in control over matters requiring stockholder approval, including the election of directors and approval of significant corporate transactions.</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automatic conversion of the Class B common stock may create uncertainty regarding our governance, strategic direction and stockholder base and could result in increased volatility or fluctuations in the trading price of our Class A common stock, including around the Final Conversion Date.</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concentration of voting control held by the holders of the Class B common stock, both the existence of our current dual-class capital structure and the automatic conversion of the Class B common stock could adversely affect the trading price and volatility of our Class A common stock, including through increased fluctuations around the Final Conversion Date or negative market perception.</w:t>
      </w:r>
    </w:p>
    <w:p>
      <w:pPr>
        <w:spacing w:after="0" w:line="11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the shares of Class A common stock may be volatile, which may affect the price at which you could sell the shares of Class A common stock.</w:t>
      </w:r>
    </w:p>
    <w:p>
      <w:pPr>
        <w:spacing w:after="0" w:line="10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securities of cannabis companies generally is likely to be volatile. In addition, the market price for the shares of Class A common stock has been and may be subject to wide fluctuations in response to numerous factors beyond our control, including, but not limited to:</w:t>
      </w:r>
    </w:p>
    <w:p>
      <w:pPr>
        <w:spacing w:after="0" w:line="10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industry in which we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 and other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transfer restrictions on outstanding shares of Class A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shares of Class A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relative to the expectation of management, securities analysts and investors;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our industry generally and our business and operations both domestically and abroad, or legislative or regulatory decisions to halt adult-use or medical cannabis programs;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us or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costs of vital production materials and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and global economies and general market conditions, such as interest rates;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joint ventures or capital commitments by or involving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litigation, arbitration proceedings or governmental investigations involving us or our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 or the lack of market comparable companies;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technological or competitive developments, regulatory changes and other related issues in our industry or target markets.</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shares of Class A common stock from time to time may decline even if our operating results, underlying asset values or prospects have not changed. Additionally, these factors, as well as other related factors, may cause decreases in asset values that may result in impairment losses to us. Further fluctuations in price and volume of equity securities may occur in the future. If increased levels of volatility and market turmoil continue, our operations could be adversely impacted, and the trading price of the shares of Class A common stock may be materially adversely affected.</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shares of Class A common stock, or a decline in our stock price, could adversely affect the market price of our shares and our ability to raise capital.</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Class A common stock in the public market could occur at any time, subject to certain restrictions described below. These sales, or the perception in the market that holders of many shares intend to sell shares, or the availability of such securities for sale, could adversely affect the prevailing market prices for the shares of Class A common stock. A decline in the market prices of the shares of Class A common stock could impair our ability to raise additional capital through the sale of securities should we seek to do so.</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sustained decline in the market price of Class A common stock could reduce the liquidity of our shares and adversely affect our ability to raise capital on acceptable terms, or at all. Because a significant portion of our operations have been and will be financed through the sale of equity securities, a decline in the price of our Class A common stock could be especially detrimental to our liquidity and our operations. If our stock price declines, there can be no assurance that we will be able to raise additional capital or generate funds from operations sufficient to meet our obligations. If we are unable to raise sufficient capital in the future, our business, financial condition and results of operations could be materially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shares of Class A common stock may result in further dilution.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additional equity or convertible debt securities in the future, which may dilute an existing stockholder’s holdings. Our certificate of incorporation permits the issuance of 750 million shares of our Class A common stock, and existing stockholders will have no preemptive rights in connection with such further issuances. Our Board has discretion to determine the price and the terms of further issuances, and such terms could include rights, preferences and privileges superior to those of holders of shares of Class A common stock. To the extent holders of our options or other convertible securities convert or exercise their securities and sell shares of Class A common stock they receive, the trading price of the shares of Class A common stock may decrease due to the additional number of shares of Class A common stock available in the market. We cannot predict the size or nature of future issuances or the effect that future issuances and sales of shares of Class A common stock will have on the market price of the shares of Class A common stock. Issuances of a substantial number of additional shares of Class A common stock, or the perception that such issuances could occur, may adversely affect prevailing market prices for the shares of Class A common stock. With any additional issuance of shares of Class A common stock, our investors will suffer dilution to their voting power and economic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sustained, which could limit liquidity and increase volatility.</w:t>
      </w:r>
    </w:p>
    <w:p>
      <w:pPr>
        <w:spacing w:after="0" w:line="175" w:lineRule="exact"/>
        <w:rPr>
          <w:sz w:val="20"/>
          <w:szCs w:val="20"/>
          <w:color w:val="auto"/>
        </w:rPr>
      </w:pPr>
    </w:p>
    <w:p>
      <w:pPr>
        <w:jc w:val="both"/>
        <w:ind w:firstLine="202"/>
        <w:spacing w:after="0" w:line="261" w:lineRule="auto"/>
        <w:rPr>
          <w:sz w:val="20"/>
          <w:szCs w:val="20"/>
          <w:color w:val="auto"/>
        </w:rPr>
      </w:pPr>
      <w:r>
        <w:rPr>
          <w:rFonts w:ascii="Times New Roman" w:cs="Times New Roman" w:eastAsia="Times New Roman" w:hAnsi="Times New Roman"/>
          <w:sz w:val="18"/>
          <w:szCs w:val="18"/>
          <w:color w:val="auto"/>
        </w:rPr>
        <w:t>Our shares of Class A common stock are listed on the CSE and our continued listing is subject to our ongoing compliance with the listing requirements of the CSE. Trading in securities listed on the CSE may be less liquid than trading in securities listed on larger U.S. exchanges. As a result, there may be limited liquidity, trading volume and analyst coverage for our shares of Class A common stock. We cannot predict the prices at which our shares of Class A common stock will trade, and there can be no assurance that an active or orderly trading market will be sustained.</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shares of Class A common stock do not currently trade on any U.S. securities exchange. Even if our shares were to trade on a U.S. securities exchange in the future, there can be no assurance that such listing would result in increased liquidity, improved market depth or reduced volatility. We cannot predict the prices at which our shares of Class A common stock would trade on any such exchange, or whether an active trading market would develop or be sustained.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United States company listed on the CSE and maintaining a public listing.</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of our Class A common stock are listed on the CSE and we are subject to the rules and regulations of Canadian securities regulators as well as certain U.S. securities laws and regulatory requirements applicable to U.S.-based public companies. As a result, we are, and will continue to be, subject to ongoing reporting, disclosure, corporate governance, accounting and compliance obligations under applicable Canadian and U.S. securities laws and the rules of the securities exchanges on which our securities may be listed.</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Compliance with these requirements has resulted, and is expected to continue to result, in significant legal, accounting, advisory, audit, internal control, and other compliance costs. In addition, changes in existing rules or the adoption of new or more stringent requirements by Canadian or U.S. regulatory authorities could further increase our compliance costs and make certain business activities more difficult, time-consuming or costly. These obligations may place significant demands on our management, personnel, systems, and resources and could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bylaws and Delaware law could discourage a takeover.</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might enable our management to resist a takeover. These provisions could make it more difficult for a third party to acquire control of us or for stockholders to replace our Board or management without the approval of our Board. These provisions include:</w:t>
      </w:r>
    </w:p>
    <w:p>
      <w:pPr>
        <w:spacing w:after="0" w:line="122" w:lineRule="exact"/>
        <w:rPr>
          <w:sz w:val="20"/>
          <w:szCs w:val="20"/>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to increase the number of outstanding shares and dilute the ownership of a potential acquirer or otherwise impede a takeover attempt;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our outstanding shares of Class B common stock, which shares represent approximately 25% of the voting rights of our capital stock;</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common stock, which gives our founders significant influence over all matters requiring stockholder approval, including the election of directors, amendments to our charter documents and significant corporate transactions, such as a merger or other sale of our company or its assets;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act by written consent;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authorized number of directors may be changed only by resolution of the Board;</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all vacancies, including newly created directorships, to be filled by the affirmative vote of a majority of directors then in office, even if less than a quorum,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for certain litigation against us to Delaware;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that can call special meetings of our stockholders to our Board, the chief executive officer, the president, the secretary or a majority of the authorized number of directors.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Board or management. These provisions, individually or in combination, could adversely affect the voting power of holders of Class A common stock and limit the price that investors might be willing to pay in the future for shares of our Class A common stock.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unless specified conditions are met.</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issue preferred stock with rights senior to our Class A common stock, which could adversely affect our stockholders and deter a change in control.</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authorizes us to issue one or more series of preferred stock. Our Board has the authority, without further stockholder approval, to determine the preferences, limitations, and relative rights of any series of preferred stock and to fix the number of shares and designation of such series. Any preferred stock we issue could have voting, liquidation, dividend, or other rights senior to those of our Class A common stock. The issuance of preferred stock could dilute the voting power and economic interests of holders of our Class A common stock and could materially adversely affect the market price of our Class A common stock. In addition, the issuance of preferred stock could delay, discourage or prevent a change in control of us, including transactions that holders of our Class A common stock may otherwise consider favorable, and could discourage bids for our Class A common stock at a premium to the then-current market price.</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bylaws provide that, unless we consent to the selection of an alternative forum, the Court of Chancery of the State of Delaware is the sole and exclusive forum for (i) any derivative action or proceeding brought on our behalf, (ii) any action asserting a claim of breach of fiduciary duty owed by any of our directors, officers or other employees to us or to our stockholders, (iii) any action asserting a claim arising pursuant to the Delaware General Corporation Law (the “DGCL”) or our certificate of incorporation or bylaws, (iv) any action to interpret apply, enforce or determine the validity of our certificate of incorporation or bylaws, or (v) any action asserting a claim governed by the internal affairs doctrine.</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exclusive forum provision does not apply to suits brought to enforce any liability or duty created by the Securities Act of 1933, as amended (the “Securities Act”) or the Exchange Act of 1934, as amended (the “Exchange Act”), or any other claim for which the federal courts have exclusive jurisdiction. Our bylaws further provide that, unless we consent in writing to the selection of an alternative forum, the federal district courts of the United States of America shall be the exclusive forum for the resolution of any complaint asserting a cause of action arising under the Securities Act or the Exchange Act.</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choice-of-forum provisions described above may limit a stockholder’s ability to bring a claim in a judicial forum that the stockholder believes is favorable for disputes with us or our directors, officers, or other employees, may increase the costs associated with bringing such claims, or may discourage such lawsuits altogether. Alternatively, if a court were to find any choice-of-forum provision contained in our certificate of incorporation or bylaws to be inapplicable or unenforceable in a particular action, we may incur additional costs associated with resolving such action in other jurisdictions, which could materially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civil liabilities in the U.S. under Canadian securities laws.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incorporated in the State of Delaware and our corporate headquarters are located in New Jersey. A majority of our directors and executive officers and certain of the experts named in this Annual Report on Form 10-K reside principally in the U.S. and the majority of our assets and all or a substantial portion of the assets of these persons is located outside of Canada. It may be difficult for investors who reside in Canada to effect service of process upon these persons in Canada, or to enforce a Canadian court judgment predicated upon the civil liability provisions of the Canadian securities laws against us or any of these persons. U.S. courts may refuse to hear a claim based on an alleged violation of Canadian securities laws against us or these persons on the grounds that the U.S. is not the most appropriate forum in which to bring a claim. Even if a U.S. court agrees to hear a claim, it may determine that U.S. law and not Canadian law is applicable to the claim. If Canadian law is found to be applicable, the content of applicable Canadian law must be proved as a fact, which can be a time-consuming and costly process. Certain matters of procedure will also be governed by U.S. law.</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SEC foreign issuer under Canadian securities laws and, therefore, are exempt from certain requirements of Canadian securities laws applicable to other Canadian reporting issuers.</w:t>
      </w:r>
    </w:p>
    <w:p>
      <w:pPr>
        <w:spacing w:after="0" w:line="1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Although we are currently a reporting issuer in Canada, we are an “SEC foreign issuer” as defined in National Instrument 71-102 – </w:t>
      </w:r>
      <w:r>
        <w:rPr>
          <w:rFonts w:ascii="Times New Roman" w:cs="Times New Roman" w:eastAsia="Times New Roman" w:hAnsi="Times New Roman"/>
          <w:sz w:val="18"/>
          <w:szCs w:val="18"/>
          <w:i w:val="1"/>
          <w:iCs w:val="1"/>
          <w:color w:val="auto"/>
        </w:rPr>
        <w:t>Continuous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and Other Exemptions Relating to Foreign Issuer</w:t>
      </w:r>
      <w:r>
        <w:rPr>
          <w:rFonts w:ascii="Times New Roman" w:cs="Times New Roman" w:eastAsia="Times New Roman" w:hAnsi="Times New Roman"/>
          <w:sz w:val="18"/>
          <w:szCs w:val="18"/>
          <w:color w:val="auto"/>
        </w:rPr>
        <w:t>s, and are exempt from certain Canadian securities laws relating to continuous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proxy solicitation if we comply with certain reporting requirements applicable in the U.S., provided that the relevant documents filed with the SEC are filed in Canada and sent to our stockholders in Canada to the extent and in the manner and within the time required by applicable U.S. requirements. In some cases, the disclosure obligations applicable in the U.S. are different or less onerous than the comparable disclosure requirements applicable in Canada for a Canadian reporting issuer that is not exempt from Canadian disclosure obligations. Therefore, there may be less or different publicly available information about us than would be available if we were a Canadian reporting issuer that is not exempt from such Canadian disclosure obligations. While we expect to be an SEC foreign issuer for the foreseeable future, we may lose the ability to rely upon such exemption in the event of a significant increase in the number of our Canadian resident stockholders and/or in the event of a significant change in the administration of our business or the location of our assets, which would in turn require us, as a consequence, to comply with the Canadian disclosure requirements in addition to those of the U.S., thereby necessitating the devotion of further administrative and legal resources in order to meet such requirement.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 Acquisitions, and Capital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the demands of consumers and other constituents within the cannabis industry as well as competitive pressures. In some circumstances, we may determine to do so through the acquisition of complementary businesses rather than through internal development. The identification of suitable acquisition candidates can be difficult, time-consuming, and costly, and we may not be able to identify, negotiate or successfully complete identified acquisitions on acceptable terms, or at all.</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acquisitions involve a number of inherent risks, including: difficulties integrating acquired businesses, assets, personnel, systems or technologies; diversion of management attention; assumption of unknown or contingent liabilities; failure to achieve expected synergies, cost savings or strategic benefits; and the potential issuance of equity or incurrence of debt, any of which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acquiring additional or traditional financing.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present state of the laws and regulations governing financial institutions in the U.S., banks often refuse to provide banking services to businesses involved in the cannabis industry. Consequently, it may be difficult for us to obtain financing from large U.S. financial institutions on terms comparable to those available to companies operating in other industries.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historically, and continue to have, access to equity and debt financing from non-public (i.e., private placement) markets. Our business plan continues to include growth initiatives, both in the form of additional acquisitions and through facility expansion and improvements. Accordingly, we may require equity and/or debt financing to support ongoing operations, to undertake capital expenditures or to undertake acquisitions and/or other business combination transactions. There can be no assurance that additional financing will be available to us when needed, in sufficient amounts, or on terms that are acceptable. Our inability to raise financing, whether through traditional banking channels or alternative sources, to fund ongoing operations, capital expenditures or acquisitions could require us to delay, reduce, or abandon planned investments or strategic initiatives and may have a material adverse effect on our business, prospects, revenue,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Section 382 and related provisions of the Code, if a corporation undergoes an “ownership change” (generally defined as a greater than 50% change (by value) in its equity ownership over a rolling three-year period), the corporation’s ability to use its pre-change federal net operating loss carryforwards and certain other pre-change tax attributes to offset post-change taxable income may be limited.</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we had gross state and local net operating loss carryforwards totaling approximately $44.8 million, which begin to expire in 2026. In addition, we may generate federal, state or local net operating losses or other tax attributes in future periods. We have not completed a study to assess whether an “ownership change” for purposes of Section 382 and related provisions of the Code has occurred, and it cannot be determined whether we have experienced, or may experience in the future as a result of subsequent shifts in our stock ownership, experience an “ownership change.” Thus, our ability to utilize carryforwards of our net operating losses and other tax attributes to reduce future tax liabilities may be substantially restricted for federal or (if applicable) state and local tax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acquisitions, dispositions, and other strategic transactions involve a number of risks for us.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may involve a number of risks for us, including: (i) potential disruption of our ongoing business; (ii) distraction of management; (iii) increased financial leverage; (iv) the anticipated benefits, synergies or cost savings of such transactions may not be realized or may take longer to realize than anticipated; (v) increased scope and complexity of our operations; and (vi) loss or reduction of control over certain of our assets.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issue additional shares of Class A common stock or other equity or convertible securities in connection with such transactions, which would dilute a stockholder’s holdings in the Company.</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presence of material liabilities or obligations of an acquired business that are known but believed to be immaterial, or that are unknown to us at the time of acquisition could have a material adverse effect on our business, prospects, revenue, results of operation, and financial condition. A strategic transaction may result in a significant change in the nature of our business, operations, or strategy. In addition, we may encounter unforeseen obstacles or costs in implementing a strategic transaction or integrating any acquired business into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growth strategy may include acquisitions, investments or other strategic transactions, the completion of which may be subject to regulatory approvals, including cannabis regulatory, antitrust or other governmental clearances, as well as other customary closing conditions. The timing and outcome of such approval processes are often uncertain, may be lengthy, and may result in the imposition of conditions or restrictions that could reduce the anticipated benefits of a transaction or make it less attractive. There can be no assurance that required approvals will be obtained on acceptable terms or within anticipated timeframes, or at all, or that announced transactions will be completed as expected. Delays, conditions or failures to complete such transactions could result in increased costs, diversion of management attention, lost business opportunities, or reputational harm, any of which could materially adversely affect our business,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growth-related risks.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risks associated with managing growth,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growth strategy is dependent upon expanding our product and service offerings into new business areas or new geographic markets. There can be no assurance that any new business areas and geographic markets will generate the clients and revenue anticipated. In addition, any expansion into new business areas or geographic markets could expose us to new risks, including compliance with applicable laws and regulations, changes in the regulatory or legal environment, differing customer preferences or habits, adverse exchange rate fluctuations, adverse tax consequences, difficulties staffing and managing new operations, infringement of third-party intellectual property rights, new costs to adapting our products and services for new markets, and difficulties collecting accounts receivable. As a result of such expansion, we may incur losses or otherwise fail to enter new markets successfully.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pre-revenue or other revenue-generating cannabis companies which may not be able to meet anticipated revenue targets in the future.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make investments in companies with no significant sources of operating cash flow and no revenue from operations. Our investments in such companies will be subject to risks and uncertainties that new companies with no operating history may face. In particular, there is a risk that our investment in these pre-revenue companies will not be able to meet anticipated revenue targets or will generate no revenue at all. The risk is that underperforming pre-revenue companies may lead to these businesses failing, which could have a material adverse effect on our business, prospects, revenue, results of operation and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or future contractual relationships or strategic alliances will have a beneficial impact on our business, financial condition and results of operation.</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and partnerships with third parties that we believe will complement or augment our existing business. Our ability to identify, enter into and maintain such relationships is dependent upon, and may be limited by, the availability of suitable counterparties, regulatory considerations and capital. In addition, contractual relationships and strategic alliances may present unforeseen operational, regulatory or integration challenges or costs, may not enhance our business, and may involve risks that could adversely affect us, including the diversion of management time and resources required to pursue, implement and maintain such arrangements. These relationships may also involve reliance on third parties, shared control, additional costs or contingent liabilities. There can be no assurance that any current or future contractual relationships or strategic alliances will achieve or continue to achieve the expected benefits to our business, or that we will be able to consummate future strategic alliances on satisfactory terms, if at all. If any such relationships fail to perform as expected, are terminated, or otherwise do not deliver anticipated benefits, our business,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are difficult to forecast.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ongoing regulatory and policy changes in the medical and adult-use cannabis industries, the relative immaturity of certain markets, and variability in supply and demand conditions, reliable market data is limited and, in some cases, unavailable. Accordingly, we must rely largely on our own market research and internal estimates to forecast sales, as detailed third-party forecasts are not generally obtainable in the states in which we operate.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market research and projections regarding estimated retail sales, demographics, demand or similar metrics are based on assumptions derived from limited or incomplete data. Such projections are inherently subject to uncertainty and depend on the occurrence and timing of a number of future events, many of which are outside of our control. There can be no assurance that the assumptions underlying these projections will be realized.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Actual results may differ materially from projected results due to a variety of factors, including changes in regulatory or legal frameworks, shifts in consumer demand, increases in operating costs, supply chain disruptions, competitive dynamics, or broader economic conditions. Accordingly, stockholders should not place undue reliance on any sales forecasts or projections as indicators of future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customer, product, or competition mix could cause our product margin to fluctuate.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experience changes in our customer mix, product mix, or competitive environment, each of which may affect our operating margins. Changes in customer mix may result from geographic expansion or contraction, differences in consumer preferences across markets, legislative or enforcement priorities affecting permitted products, or shifts in demand among medical and adult-use consumers.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product mix may result from the introduction of new products, promotional or pricing strategies, regulatory changes affecting product availability, or evolving consumer preferences, including increased demand for lower-margin products or categories. Changes in our competitive environment, including the entry or expansion of well-capitalized competitors or increased promotional or discounting activity, may place downward pressure on pricing or require us to adjust our product offerings or pricing strategies.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demand shifts toward lower-margin products or categories, if competitive or regulatory pressures limit our ability to price products at levels sufficient to maintain historical margins, or if we are unable to offset such changes through cost controls or operational efficiencies, our gross margins, operating results, and financial condition could be materially adversely affected.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a history of net losses and negative cash flows from operating activities, and we may not achieve or maintain profitability or positive cash flows in the future.</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began operating in May 2018 and have not achieved sustained profitability. We generated a net loss of $118.2 million during the year ended December 31, 2025. During the year ended December 31, 2025, we had positive cash flows from operating activities of $38.1 million resulting in total “cash and cash equivalents” of approximately $85.7 million as of December 31, 2025. We intend to continue to expend significant funds to expand our cultivation and processing facilities, to make acquisitions, and to fund our working capital. We cannot guarantee we will have a positive cash flow status in the future, and we may be subject to litigation matters in the general course of business that, if we suffer an adverse outcome or enter into unfavorable settlement agreement, may impact results from operations</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Annual Report on Form 10-K and our other reports and disclosure documents as well as other unknown events. The amount of future net losses will depend, in part, on the growth of our future expenses and our ability to generate revenue. If we continue to incur losses in the future, the net losses and historical negative cash flows incurred to date, together with any such future losses, will have an adverse effect on our stockholders’ equity and working capital. Because of the numerous risks and uncertainties associated with producing cannabis products,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A common stock may significantly decrease and our ability to raise capital, expand our business or continue our operations may be impaired. A decline in our value may also cause you to lose all or part of your investment.</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increased costs as a result of operating as a public company and our management will be required to devote substantial time to new compliance initiatives.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as a public company requires significant legal, accounting, and other compliance efforts. Our management and other personnel must devote substantial time to complying with reporting requirements, maintaining effective internal control over financial reporting and disclosure controls and procedures, and addressing evolving regulatory and governance expectations. Our existing management team will need to devote a substantial amount of time to these compliance initiatives, and we may need to hire additional personnel or engage external advisors to assist us with complying with these requirements. Moreover, these rules and regulations will increase our legal and financial compliance costs and will make some activities more time consuming and costly and may divert management’s attention from operating and growing our business.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assurance that our management’s past experience will be sufficient to enable us to operate successfully as a public company.</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current cash position, expected revenue growth and anticipated financing transactions will be sufficient to fund our operations for the next twelve months.</w:t>
      </w:r>
    </w:p>
    <w:p>
      <w:pPr>
        <w:spacing w:after="0" w:line="1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have an accumulated deficit of $518.5 million and $400.4 million as of December 31, 2025 and 2024, respectively, as well as a net loss for each of the years ended December 31, 2025, 2024, and 2023. We generated positive cash flows from operating activities during the years ended December 31, 2025, 2024 and 2023, but incurred negative cash flows from operating activities during prior years. If we are unable to raise additional capital on favorable terms, if or when needed, we may be forced to delay, reduce, or curtail certain of our operations until such time as additional capital becomes available. Additionally, if we are unable to continue as a going concern, our stockholders may lose some or all of their investment in the Company.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restrictive debt covenants under our loan agreements.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loan agreements contain certain restrictive covenants, which restrict our ability to, among other things, incur additional indebtedness, incur certain liens on our assets or sell assets, make investments, make capital expenditures, pay dividends and make other restricted payments. Many of our loan agreements also require us to maintain specified financial ratios under certain conditions and satisfy financial condition tests, including minimum cash balances and debt to assets ratios.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meet those financial ratios and tests and otherwise comply with our financial covenants may be affected by the factors described herein and other factors outside our control, and we may not be able to meet those ratios, tests and covenants. Our ability to generate sufficient cash from operations to meet our debt obligations will depend upon our future operating performance, which will be affected by general economic, financial, competitive, business and other factors beyond our control. A breach of any of these covenants, ratios, tests or restrictions, as applicable, or any inability to pay interest on, or principal of, our outstanding debt as it becomes due could result in an event of default. Upon an event of default, if not waived by our lenders, our lenders may declare all amounts outstanding as due and payable. Such an acceleration of the maturity of our indebtedness may, among other things, prevent or limit us from engaging in transactions that benefit us, including responding to changing business and economic conditions and taking advantage of attractive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analyst coverage or unfavorable analyst reports could adversely affect the market price and trading volume of our Class A common stock.</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shares of Class A common stock will be influenced by the research and reports that securities or industry analysts publish about us, our business, our market or our competitors. If no or few securities or industry analysts cover us,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JOBS Act, and we cannot be certain if the reduced disclosure requirements applicable to emerging growth companies will make the shares of Class A common stock less attractive to investors.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among others, (1) not being required to comply with the auditor attestation requirements of Section 404 of the Sarbanes-Oxley Act of 2002 (“Section 404”), (2) reduced disclosure obligations regarding executive compensation in this Annual Report on Form 10-K and periodic reports and proxy statements, and (3)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remain an emerging growth company for up to five years following our initial public offering, unless we earlier cease to qualify as an emerging growth company due to one or more of the following events: (i) the market value of the shares of our Class A common stock held by non-affiliates exceeds $700 million as of the last business day of our most recently completed second fiscal quarter, (ii) we have total annual gross revenues of $1.07 billion or more during any fiscal year, or (iii) we issue more than $1.0 billion in non-convertible debt during any three-year period, in which case we would no longer be an emerging growth company as of the applicable determination date. We expect to cease to qualify as an emerging growth company as of December 31, 2026, unless we earlier cease to qualify under one of the foregoing criteria. Beginning with the first filing period for which such status no longer applies, we will be required to comply with the additional reporting and disclosure requirements applicable to other public companies, including the requirement that our independent registered public accounting firm attest to management’s assessment of internal control over financial reporting under Section 404 of the Sarbanes-Oxley Act.</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the shares of Class A common stock less attractive because we may rely on these exemptions. If some investors find our shares less attractive as a result, there may be a less active trading market for the shares of our Class A common stock, and the market price of our Class A common stock may be more volatile.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As a result, our financial statements may not be comparable to those of companies that are not emerging growth companies or that have elected not to take advantage of such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cash equivalents, and investments and may not use them effectively.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has broad discretion over the use of our cash, cash equivalents and investments, including proceeds from financings, and may deploy such funds in ways that do not improve our results of operations or enhance the value of our Class A common stock. The failure by our management to use our cash, cash equivalents and investments effectively could result in financial losses and could adversely affect our business, financial condition, results of operations and the market price of our Class A common stock, including by delaying or limiting strategic initiatives, capital investments or growth opportunities. Pending their use, we may invest our cash, cash equivalents and investments in a manner that does not generate meaningful returns or may be subject to market risk or loss of principal.</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Proposed legislation in the U.S. Congress, including changes in U.S. tax law and the Inflation Reduction Act of 2022, may adversely impact us and the value of shares of our Class A common stock.</w:t>
      </w:r>
    </w:p>
    <w:p>
      <w:pPr>
        <w:spacing w:after="0" w:line="1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to U.S. tax laws (which changes may have retroactive application) could adversely affect us or holders of our Class A common stock. In recent years, many changes to U.S. federal income tax laws have been proposed and made, and additional changes to U.S. federal income tax laws are likely to continue to occur in the future.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Congress is currently considering, and may continue to consider, numerous items of legislation which may be enacted prospectively or with retroactive effect, which legislation could adversely impact our financial performance and the value of shares of our Class A common stock. Additionally, states in which we operate or own assets may impose new or increased taxes. If enacted, most of the proposals would be effective for the current or later years. The proposed legislation remains subject to change, and its impact on us or our investors is uncertain.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Inflation Reduction Act of 2022 includes provisions that impact the U.S. federal income taxation of corporations. Among other items, this legislation includes provisions that impose a minimum tax on the book income of certain large corporations and an excise tax on certain corporate stock repurchases that is imposed on the corporation repurchasing such stock. It is unclear how this legislation will be implemented by the U.S. Department of the Treasury and we cannot predict how this legislation or any future changes in tax laws might affect us or investors in our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 by employees, contractors and consultants.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involve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we take to detect and prevent these activities may not always be effective in controlling unknown or unmanaged risks or losses, or in protecting us from governmental investigations or other actions or lawsuits stemming from a failure to comply with such laws or regulations.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or curtailment of our operations, any of which could have a material adverse effect on our business, financial condition, results of operations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ability to do business may be negatively impacted by the improper conduct by our business partners, employees or agents.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states, we depend on third-party suppliers to produce and ship our orders. Products purchased from our suppliers are resold to our customers. These suppliers could fail to produce products to our specifications or quality standards or may not deliver units on a timely basis. Any changes in our suppliers’ production capabilities or product availability could impact our ability to fulfill orders and could also disrupt our business due to delays in identifying or qualifying new alternative suppliers.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business partners in violation of U.S. federal, state or local laws. Any improper acts or allegations thereof could damage our reputation and subject us to civil or criminal investigations and related stockholder lawsuits, could lead to substantial civic and criminal monetary and non-monetary penalties and could cause us to incur significant legal and investigatory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information technology systems, and potential cyber-attacks and security breaches.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how well we and our suppliers protect networks, equipment, information technology (“IT”) systems and software against damage and threats, including, but not limited to, cable cuts, damage to physical plants, natural disasters, intentional damage and destruction, fire, power loss, hacking, computer viruses, vandalism and theft. We are susceptible to operational, financial and information security risks resulting from cyber-attacks, ransomware attacks, phishing attempts, insider threats, malfunctioning technology or other security incidents. Our operations also depend on the timely maintenance and replacement of network equipment, IT systems and software, as well as investments to mitigate associated risks. Any of the foregoing and other events could result in information system failures, delays, increases in capital expenses, financial losses, the inability to process transactions, the unauthorized release of customer information and reputational risk. If there was a breach in security or a failure or prolonged interruption of our IT systems, it could adversely affect our reputation and business continuity.</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we may store and collect personal information about customers, employees, and business partners, where allowed by law, and are responsible for protecting that information from privacy breaches that may occur through procedural or process failure, IT malfunction or deliberate unauthorized intrusions. We are subject to laws, rules and regulations in the United States and, in some cases,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Any such theft or privacy breach could have a material adverse effect on our business, prospects, revenue, results of operation and financial condition.</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non-compliance could result in proceeding by governmental entities, significant fines, reputational harm or other adverse impacts on our business, financial condition, and operating results.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experienced any material losses to date relating to cyber-attacks or other information security breaches, but there can be no assurance that we will not incur any further losses in the future. Our risk and exposure to these matters cannot be fully mitigated because, among other things, cyberthreats are constantly evolving and becoming increasingly sophisticated, as threat actors may utilize artificial intelligence and machine learning. As a result, cybersecurity and the continued development and enhancement of controls, processes and practices designed to protect systems, computers, software, data and networks from attack, damage or unauthorized access is a priority. As cyber threats continue to evolve, we may be required to expend additional resources to continue to modify or enhance protective measures or to investigate and remediate any security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expose us to operational, regulatory, data privacy, and reputational risks.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utilize artificial intelligence (“AI”) and related data analytics technologies in certain limited aspects of our business, including customer engagement and marketing analytics. These technologies rely on data, algorithms and assumptions that may be incomplete, inaccurate or subject to bias, and the outputs generated by such systems may not always be accurate. If such tools produce inaccurate or unintended results, they could adversely affect customer experience, marketing effectiveness and, to a lesser extent, certain operational or compliance-related processes that incorporate data analytics.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use of AI technologies may involve the collection, processing and analysis of customer or other personal data and may increase our exposure to data privacy, cybersecurity and information security risks, as well as evolving laws and regulations governing automated decision-making, consumer protection and the use of personal data. In addition, to the extent our AI-enabled tools are perceived to be unfair, misleading, discriminatory or insufficiently transparent, or if such systems fail to perform as intended or result in the unauthorized use or disclosure of data, our reputation, business, financial condition and results of operations could be materially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arbitration, or other legal proceedings that could adversely affect our business.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litigation, arbitration proceedings, regulatory investigations and other legal matters in the ordinary course of business. Such matters may relate to, among other things, commercial disputes, employment matters, regulatory compliance, intellectual property, contractual obligations or other issues. Litigation and other legal proceedings are inherently uncertain, and outcomes are difficult to predict. Adverse judgments, settlements, penalties or other outcomes could result in significant monetary damages, fines, injunctive relief, operational restrictions or reputational harm, and could adversely affect our financial condition, results of operations or the market price of our Class A common stock. Even if we ultimately prevail, legal proceedings can be costly, time-consuming and disruptive to our operations and may divert the attention of management and other personnel. Please refer to the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section of this Annual Report on Form 10-K for a description of our significant legal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challenging global economic conditions.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flows may be negatively impacted by challenging global economic conditions. Unfavorable or uncertain economic and market conditions can be caused by declines in economic growth, business activity or consumer confidence, limitations on the availability of or increases in the cost of credit and capital, increases in inflation or interest rates, high unemployment, natural disasters, public health events, geopolitical instability, state or local government insolvency, or a combination of these or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macroeconomic developments could negatively impact our business, which depends in part on the general economic environment and levels of consumer discretionary spending. As a result, we may be unable to maintain our existing customers or attract new customers, experience reduced demand for our products, or be required to adjust pricing or promotional strategies, any of which could adversely affect our revenues, margins and cash flows. We are unable to predict the likelihood, duration or severity of adverse global economic conditions or disruptions in credit and financial markets, and any sustained economic downturn could have a material adverse effect on our business, financial condition, results of operations and cash flows.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date, the Company has not been significantly impacted by inflationary pressures; however, sustained increases in inflation, interest rates or other adverse economic conditions, including governmental efforts to manage or reduce inflation, could adversely impact our cost structure, including labor, energy, materials and other operating expenses, as well as consumer demand for our products. While we intend to take actions, where possible, to mitigate the effects of inflation and other adverse economic conditions, such mitigation efforts may not be effective, particularly in the event of prolonged or widespread inflationary pressures.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United States has imposed and may impose additional quotas, duties, tariffs or other trade protection measures, which may increase the cost of certain materials used in our operations, including packaging materials, or otherwise adversely affect our suppliers or customers. The evolving and uncertain nature of tariff structures, coupled with ongoing developments in U.S. trade policy, may disrupt procurement channels and increase the costs associated with sourcing products or materials from abroad. Changes in tariff rates, import duties or other trade restrictions could increase our costs, disrupt supply chains, reduce demand for our products or contribute to broader economic volatility, any of which could materially adversely affect our business, financial condition or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epidemic diseases.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health events, including epidemics or pandemics, may disrupt our operations or those of our employees, contractors, suppliers, and other business partners, including as a result of workforce availability issues, supply chain disruptions, facility closures or other preventative measures taken by governmental authorities or private parties.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restrictions implemented in response to the COVID-19 pandemic have largely been lifted in the jurisdictions in which we operate, future public health events or resurgences could adversely affect our business by disrupting the manufacture, distribution or sale of our products, increasing operating costs, or limiting the availability of our workforce or that of our suppliers. The extent to which any such event may impact our business, financial condition or results of operations will depend on future developments that are uncertain and difficult to predict.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because cannabis remains illegal under U.S. federal law, we may be ineligible to participate in certain government relief programs or other forms of financial assistance that may be made available in response to public health emergencies, which could place us at a competitive disadvantage relative to other industries.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political and economic instability.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be affected by political or economic instability. The risks include, but are not limited to, terrorism, military repression, extreme fluctuations in currency exchange rates, high rates of inflation and other negative impacts on the global economy, capital markets or other geopolitical conditions. Changes in medical and agricultural development or investment policies or shifts in political viewpoints of certain countries may adversely affect our business. Operations may be affected in varying degrees by government regulations with respect to restrictions on production, distribution, price controls, export controls, income taxes, expropriation of property, maintenance of assets, environmental legislation, land use, land claims of local people, and water use. The effect of these factors cannot be accurately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maintain effective internal controls over financial reporting and to evaluate the effectiveness of those controls. We will be required to comply with the auditor attestation requirements of Section 404 of the Sarbanes-Oxley Act if and when we become an accelerated filer or large accelerated filer and are no longer eligible for any applicable exemption from such requirements.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design, implement or maintain effective internal controls over financial reporting, or if our internal controls are found to be deficient, we may not be able to conclude on an ongoing basis that our internal controls are effective. In addition, we cannot predict the timing or outcome of our evaluation, testing and any remediation actions, or the impact such efforts may have on our operations.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fail to maintain effective internal controls over financial reporting or to comply with the requirements of Section 404 in a timely manner, our independent registered public accounting firm may be unable to provide an unqualified attestation opinion when required, and we may be subject to regulatory scrutiny, including by the SEC. Any such outcome could result in a loss of investor confidence in the reliability of our financial statements, negatively affect the trading price of our securities, and require us to incur additional costs, including the hiring of additional personnel or consultants, which could adversely affect our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operation of our businesses is dependent on the secure functioning of our computer infrastructure, digital information systems, and third-party hosted services. We use these systems to maintain sensitive business and customer data, operate record-keeping and accounting functions, process business transactions, and for other key aspects of our business.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rely on our information technology (“IT”) department, management, and third-party service providers to identify, assess, and manage cybersecurity threats and risks, including those associated with artificial intelligence. Our information security program utilizes various security tools and strategies, including risk assessments, incident detection and response, vulnerability management, disaster recovery and business continuity plans, internal controls within our accounting and financial reporting functions, encryption of data, network security controls, access controls, physical security, and systems monitoring. We also work with third parties that assist us to identify, assess, and manage cybersecurity risks, including professional services firms, consulting firms, and threat intelligence service providers. These assessments encompass evaluations of both the design and operational effectiveness of our security measures and consider the evolution of different cybersecurity threats, including through artificial intelligence.</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is integrated into our overall risk management system. Our IT department works closely with our management and other relevant teams to regularly assess and identify possible material risks from cybersecurity threats, including, but not limited to, financial, operations, reputational and regulatory impact to the Company, as well as impacts on our employees and customers. The Company maintains an Incident Response Plan designed to detect, respond to and mitigate cybersecurity incidents. The Incident Response Plan is administered by a designated Cybersecurity Incident Response Team (“CIRT”), comprised of information technology leadership and designated systems administrators with defined roles and responsibilities for preparation, detection, containment, recovery and post-incident analysis. Under this plan, cybersecurity incidents are assessed based on defined severity levels and significant risk findings are escalated to executive leadership, including the Executive Leadership Team (“ELT”), based on the nature and severity of the incident. Following resolution, incidents are formally documented and reviewed, including post-incident analysis and “lessons learned,” to enhance the Company’s cybersecurity posture.</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cybersecurity-related risks, see “</w:t>
      </w:r>
      <w:r>
        <w:rPr>
          <w:rFonts w:ascii="Times New Roman" w:cs="Times New Roman" w:eastAsia="Times New Roman" w:hAnsi="Times New Roman"/>
          <w:sz w:val="18"/>
          <w:szCs w:val="18"/>
          <w:i w:val="1"/>
          <w:iCs w:val="1"/>
          <w:color w:val="auto"/>
        </w:rPr>
        <w:t>Risk Factors – We face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technology systems, and potential cyber-attacks and security breaches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team oversees cybersecurity risk management processes and their implementation. Our information security program is coordinated by our IT department, led by our Executive Vice President of Enterprise Solutions, who has 30 years of industry experience in IT, with responsibility for enterprise security, and cyber risk management including serving in similar roles leading and overseeing cybersecurity programs at other public companies. Supporting team members have relevant educational and industry experience, including holding similar technology positions at other companies.</w:t>
      </w:r>
    </w:p>
    <w:p>
      <w:pPr>
        <w:spacing w:after="0" w:line="21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Management, in coordination with our IT department, is responsible for hiring appropriate personnel, helping to integrate cybersecurity risk considerations into the Company’s overall risk management strategy, and communicating key priorities to relevant personnel. Management is responsible for approving budgets, approving cybersecurity processes, and reviewing cybersecurity assessments and other cybersecurity-related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Material cybersecurity incidents are escalated to executive leadership in accordance with the Company’s incident response procedures and, where appropriate, to the Board of Directors. Our Board of Directors oversees the Company’s risk management framework, including oversight of material cybersecurity risks, and receives information regarding such risks as appropriate in connection with its enterprise risk management responsibilities.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lease space in Rochelle Park, NJ that houses our corporate headquarters.</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lease approximately 700,000 square feet of cultivation and manufacturing facilities in Barry, IL, Athol, MA, Amesbury, MA, Lansing, MI, Franklin, NJ, Smithfield, PA, and one of our two facilities in Monroe, OH. We own one manufacturing facility in Monroe, OH which comprises approximately 9,000 square feet. We lease 41 of 53 currently open or planned retail dispensaries, including entities to which we provide administrative and operational support, which comprise approximately 230,000 square feet, and own 12 retail dispensaries, which comprise approximately 60,000 square feet.</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cultivation leases generally have a term of 18 to 20 years. Most leases for our cultivation and manufacturing operations provide for a base rent, typically with three percent annual escalators and generally require us to pay insurance, utilities, real estate taxes and repair and maintenance expenses.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retail leases generally have a term of ten years with two five-year renewal options. Most leases for our retail stores provide for a base rent, typically with 2-3 percent annual escalations and generally require us to pay insurance, utilities, real estate taxes, and repair and maintenance expenses.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average size of our retail stores is approximately 5,000 square feet. The following table summarizes our principal physical properties by state and their designation by use or planned use,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Ancillary</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65"/>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Processing</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partner locations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68"/>
        </w:trPr>
        <w:tc>
          <w:tcPr>
            <w:tcW w:w="6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Ancillary properties include non-cannabis touching properties that support the Company’s operations, such as offices and parking lots.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a description of our material pending legal proceedings, please see Note </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auto"/>
        </w:rPr>
        <w:t>, “Commitments and Contingencies,” of the Notes to Consolidated Financial Statements included in Part II, Item 8 of this Annual Report on Form 10-K,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Dividends, and Stockholders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of our Class A common stock are listed on the CSE under the ticker symbol “AAWH.U” and are quoted on the OTCQX under the symbol “AAWH.” The Company has not declared cash dividends in the past. The Company currently intends to reinvest all future earnings to finance the development and growth of the business. As a result, the Company does not intend to pay dividends on its common stock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stockholders.</w:t>
      </w:r>
    </w:p>
    <w:p>
      <w:pPr>
        <w:spacing w:after="0" w:line="1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10, 2026, there were 161 registered holders of shares of our Class A common stock. These totals do not include the number of person whose stock is in nominee or “street” name accounts through brokers.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Performance Table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shares of Ascend Wellness Holdings, Inc.’s Class A common stock from May 4, 2021, when Ascend Wellness Holdings, Inc. began trading on the CSE, through December 31, 2025, with the comparative cumulative return of the S&amp;P 500 Index and a selected peer group of companies. The comparison assumes all dividends have been reinvested (if any) and an initial investment of $100 on May 4, 2021. The returns of each company in the peer group have been weighted to reflect their market capitalizations.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22860</wp:posOffset>
            </wp:positionV>
            <wp:extent cx="4937760" cy="28714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3776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5/4/21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6/30/21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6/30/22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6/30/23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6/30/24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6/30/25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12/31/25</w:t>
            </w:r>
          </w:p>
        </w:tc>
        <w:tc>
          <w:tcPr>
            <w:tcW w:w="0" w:type="dxa"/>
            <w:vAlign w:val="bottom"/>
          </w:tcPr>
          <w:p>
            <w:pPr>
              <w:spacing w:after="0"/>
              <w:rPr>
                <w:sz w:val="1"/>
                <w:szCs w:val="1"/>
                <w:color w:val="auto"/>
              </w:rPr>
            </w:pPr>
          </w:p>
        </w:tc>
      </w:tr>
      <w:tr>
        <w:trPr>
          <w:trHeight w:val="23"/>
        </w:trPr>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5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Ascend Wellness</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Holdings, Inc.</w:t>
            </w:r>
          </w:p>
        </w:tc>
        <w:tc>
          <w:tcPr>
            <w:tcW w:w="16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110.59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176.08</w:t>
            </w: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Peer Group</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Peer Group is comprised of: Ayr Wellness Inc., The Cannabist Company Holdings Inc., Cresco Labs Inc., Curaleaf Holdings, Inc., Green Thumb Industries Inc., Jushi Holdings Inc., TerrAscend Corp., Verano Holdings Corp, and Trulieve Cannabis Corp.</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Item 5 of Part II of this Form 10-K shall not be deemed to be “soliciting material” or to be “filed” with the SEC or subject to Regulation 14A or 14C, or to the liabilities of Section 18 of the Exchange Act. The comparisons in the performance graph are based on historical data and are not indicative of, or intended to forecast, the possible future performance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regarding purchases by the Company of its Class A common stock during the three months ended December 31, 2025 by or on behalf of the Company or any “affiliate purchaser” as defined in Rule 10b-18(a)(3) under the Exchange Act.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4"/>
                <w:szCs w:val="14"/>
                <w:color w:val="auto"/>
              </w:rPr>
            </w:pPr>
          </w:p>
        </w:tc>
        <w:tc>
          <w:tcPr>
            <w:tcW w:w="2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w:t>
            </w:r>
          </w:p>
        </w:tc>
        <w:tc>
          <w:tcPr>
            <w:tcW w:w="2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00" w:type="dxa"/>
            <w:vAlign w:val="bottom"/>
          </w:tcPr>
          <w:p>
            <w:pPr>
              <w:spacing w:after="0"/>
              <w:rPr>
                <w:sz w:val="16"/>
                <w:szCs w:val="16"/>
                <w:color w:val="auto"/>
              </w:rPr>
            </w:pPr>
          </w:p>
        </w:tc>
        <w:tc>
          <w:tcPr>
            <w:tcW w:w="2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229"/>
        </w:trPr>
        <w:tc>
          <w:tcPr>
            <w:tcW w:w="2240" w:type="dxa"/>
            <w:vAlign w:val="bottom"/>
            <w:gridSpan w:val="2"/>
            <w:vMerge w:val="continue"/>
          </w:tcPr>
          <w:p>
            <w:pPr>
              <w:spacing w:after="0"/>
              <w:rPr>
                <w:sz w:val="19"/>
                <w:szCs w:val="19"/>
                <w:color w:val="auto"/>
              </w:rPr>
            </w:pPr>
          </w:p>
        </w:tc>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(including fees)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100" w:type="dxa"/>
            <w:vAlign w:val="bottom"/>
          </w:tcPr>
          <w:p>
            <w:pPr>
              <w:spacing w:after="0"/>
              <w:rPr>
                <w:sz w:val="19"/>
                <w:szCs w:val="19"/>
                <w:color w:val="auto"/>
              </w:rPr>
            </w:pPr>
          </w:p>
        </w:tc>
        <w:tc>
          <w:tcPr>
            <w:tcW w:w="2180" w:type="dxa"/>
            <w:vAlign w:val="bottom"/>
            <w:gridSpan w:val="2"/>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under plans or programs</w:t>
            </w:r>
            <w:r>
              <w:rPr>
                <w:rFonts w:ascii="Times New Roman" w:cs="Times New Roman" w:eastAsia="Times New Roman" w:hAnsi="Times New Roman"/>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169"/>
        </w:trPr>
        <w:tc>
          <w:tcPr>
            <w:tcW w:w="21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1 through October</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287,000</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468,754</w:t>
            </w:r>
          </w:p>
        </w:tc>
        <w:tc>
          <w:tcPr>
            <w:tcW w:w="0" w:type="dxa"/>
            <w:vAlign w:val="bottom"/>
          </w:tcPr>
          <w:p>
            <w:pPr>
              <w:spacing w:after="0"/>
              <w:rPr>
                <w:sz w:val="1"/>
                <w:szCs w:val="1"/>
                <w:color w:val="auto"/>
              </w:rPr>
            </w:pPr>
          </w:p>
        </w:tc>
      </w:tr>
      <w:tr>
        <w:trPr>
          <w:trHeight w:val="176"/>
        </w:trPr>
        <w:tc>
          <w:tcPr>
            <w:tcW w:w="2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1 through</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31, 2025</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372,000</w:t>
            </w:r>
          </w:p>
        </w:tc>
        <w:tc>
          <w:tcPr>
            <w:tcW w:w="9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254,772</w:t>
            </w: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1 through</w:t>
            </w: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460,550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460,550</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1,119,550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1,119,550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340" w:hanging="332"/>
        <w:spacing w:after="0" w:line="245" w:lineRule="auto"/>
        <w:tabs>
          <w:tab w:leader="none" w:pos="32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December 27, 2024, the Company’s board of directors (the “Board”) authorized a share buyback program (“Buyback Program”), which became effective on January 2, 2025 and expired on January 1, 2026. Pursuant to the Buyback Program, the Company could repurchase up to the lesser of: (i) approximately 10.216 million shares of the Company’s Class A common stock, representing approximately 5.0% of the Company’s then-outstanding Class A common stock, and (ii) $2.25 million worth of shares of Class A common stock, in the open market, pursuant to a normal course issuer bid, on the CSE, the OTCQX, or alternative trading systems, subject to applicable legal, regulatory, and contractual requirements. A total of 4.8 million shares of the Company’s Class A common stock were purchased for cancellation in accordance with the Buyback Program. All purchases were made through the Company’s selected purchasing member. The total number of shares of Class A common stock purchased, timing of purchases, and share price were dependent upon market conditions and business considerations, any applicable securities law requirements, CSE rules, and any determination of best use of cash available at the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assist in the understanding of the results of operations and financial condition of Ascend Wellness Holdings, Inc. and its subsidiaries (collectively referred to as “AWH,” “Ascend,” “we,” “us,” “our,” or the “Company”). This MD&amp;A is provided as a supplement to, and should be read in conjunction with the consolidated financial statements and the accompanying notes thereto (the “Financial Statements”) appearing elsewhere in this Annual Report on Form 10-K (the “Annual Report” or “Form 10-K”). The Financial Statements were prepared in accordance with accounting principles generally accepted in the United States of America, which we refer to as “GAAP.”</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following MD&amp;A should be read in conjunction with, and is qualified in its entirety by, the Financial Statements. In addition to historical information, this MD&amp;A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for more information.</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2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Company’s shares of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 We are an emerging growth company under federal securities laws and as such we are able to elect to follow scaled disclosure requirements for this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Established in 2018 and headquartered in Rochelle Park, New Jersey,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to retail partner locations, and to third-party licensed retail locations.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prior to that date that may be referenced in this filing. We refer to this conversion throughout this filing as the “Conversion.” As a result of the Conversion, the members of Ascend Wellness Holdings, LLC became holders of shares of stock of Ascend Wellness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formation, we have expanded our operational footprint, primarily through acquisitions, and, as of December 31, 2025, had direct or indirect operations or financial interests in seven United States geographic markets: Illinois, Maryland, Massachusetts, Michigan, New Jersey, Ohio, and Pennsylvania. While we have been successful in opening cultivation facilities and dispensaries under our current licenses, we expect continued growth to be driven by opening dispensaries under our current licenses and through partnership opportunities, expansion of our current cultivation facilities, and increased consumer demand. We currently employ approximately 2,300 people, excluding employees of retail partner locations.</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consumer products portfolio is generated primarily from plant material that we grow and process ourselves. As of December 31, 2025, we produce our consumer packaged goods in six manufacturing facilities with approximately 258,000 square feet of total canopy. During 2025, we sold approximately 225,000 pounds of wholesale product, on a gross basis, compared to approximately 187,000 pounds sold during 2024. Our product portfolio consists of a range of cannabis product categories including flower, pre-rolls, concentrates, vapes, edibles, and other cannabis-related products. As of December 31, 2025, we had 47 open and operating retail locations, including 9 retail partner locations. We have fully-financed expansion plans to achieve a target of 60 total retail locations, including retail partner locations. Our new store opening plans are flexible and will ultimately depend on market conditions, local licensing, construction, and other regulatory permissions. Our expansion plans are subject to capital allocations decisions, the evolving regulatory environment, and the general economic environment.</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19, 2025, the Company filed a registration statement on Form S-3 (the “Registration Statement”) containing a base shelf prospectus with the SEC (the “Shelf Prospectus”), which Registration Statement became effective on January 22, 2026. A corresponding base shelf prospectus (the “Canadian Prospectus”) was filed with, and receipted by, the securities regulatory authorities in each of the provinces and territories Canada under the U.S.-Canada multijurisdictional disclosure system (“MJDS”). The Registration Statement and Canadian Prospectus register and qualify the offer and sale of up to an aggregate of $100 million of shares of Class A common stock, preferred stock, warrants, debt securities, subscription rights and/or units of the Company (“Securities”) for a period of three years. The terms of any Securities to be offered under the Shelf Prospectus and Canadian Prospectus will be specified in a prospectus supplement, which will be filed with the applicable U.S. and Canadian securities regulatory authorities in connection with any such offering. To date, no prospectus supplement has been filed. The Shelf Prospectus and the Canadian Prospectus were filed to provide additional flexibility to pursue strategic initiatives.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continuously reviewing its footprint in order to optimize its operations, including expansion opportunities across the markets in which it operates. Some of the highlights achieved during the year include:</w:t>
      </w:r>
    </w:p>
    <w:p>
      <w:pPr>
        <w:spacing w:after="0" w:line="108"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broadening our market presence with eight additional retail stores, including retail partner locations, for a total of 47 retail locations as of December 31, 2025;</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product offering with the debut of two new brands, High Wired infused flower and Honor Roll top quality pre-rolls, and launching 566 SKUs, reflecting the expansion of formats, flavors, and formulations across nearly all product lines;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our capital structuring by fully prepaying a $60,000 term loan through the issuance of $50,000, in aggregate principal, of term loans, plus cash on hand, in addition to the closing of a financing arrangement with a principal amount of $9,345, as further described in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$38,053 of net cash from operating activities and ending the year with $85,676 of cash and cash equivalents, as further described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Pending Transactions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Midwest Retail Partner One Activity</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December 2024, Midwest Retail Partner One, a consolidated VIE, as further described in Note 8, “Variable Interest Entities,” in the Financial Statements, entered into a definitive agreement to acquire the membership interests of an entity that anticipates receiving two adult-use licenses, which agreement is subject to regulatory approval. In conjunction with this definitive agreement, the parties entered into certain management services agreements (“MSAs”) pursuant to which Midwest Retail Partner One will provide management and advisory services for a set fee. These MSAs were subject to regulatory review and approval, which was received in February 2025. Based on the provisions of the agreements, Midwest Retail Partner One obtained operational and financial influence over the underlying entity and therefore recognized the transaction as an asset acquisition as of the February 2025 regulatory approval date of these MSAs. Total cash consideration for this transaction may be up to $4,000, subject to certain closing adjustments, which was allocated to the licenses acquired as of the effective date. Of the total consideration, $1,000 was paid at signing in December 2024 and is included within “Other non-current assets” on the Consolidated Balance Sheet in the Financial Statements as of December 31, 2024. A total of up to $1,500 is expected to be paid upon opening of the associated dispensary locations and a total of up to $1,500 is expected to be paid upon final closing of the associated transaction. The total of the remaining payments is included as a sellers’ note; refer to Note 11, “Debt” in the Financial Statements. Additionally, the Company recorded an acquisition-related deferred tax liability of $1,755, which was allocated to the license as additional cost basis as of the effective date. One of the dispensary locations opened in March 2026. Refer to Note 4, “Acquisitions,” and to Note 8, “Variable Interest Entities,” for additional information.</w:t>
      </w:r>
    </w:p>
    <w:p>
      <w:pPr>
        <w:spacing w:after="0" w:line="1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2025, Midwest Retail Partner One entered into a definitive agreement to acquire a conditional adult-use license, which agreement is subject to regulatory approval. Total cash consideration for this transaction is $1,900, to be paid at final closing and subject to certain closing adjustments. In October 2025, the parties amended the definitive agreement to, among other provisions, reduce the total cash consideration by $150 and advance $450 at that time. In conjunction with this definitive agreement, the parties entered into certain MSAs under which Midwest Retail Partner One will provide certain management and advisory services for a set fee. The parties also entered into a working capital loan and security agreement, under which Midwest Retail Partner One may loan up to $3,650 for the build-out of the associated dispensary. Based on the provisions of the MSAs and working capital loan, Midwest Retail Partner One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The payment due at closing is included as a sellers’ note; refer to Note 11, “Debt” in the Financial Statements. The associated dispensary opened in May 2025 and the Company anticipates that closing of the transaction may occur in the first half of 2026. Refer to Note 4, “Acquisitions,” and to Note 8, “Variable Interest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 March 2025, Midwest Retail Partner One acquired an entity that owns and operates an adult-use dispensary (“Midwest Partnership Dispensary Three”) and also entered into a related MSA pursuant to which Midwest Retail Partner One will provide certain management and advisory services for a set fee while the underlying transaction is pending regulatory approval. Based on the provisions of this MSA, Midwest Retail Partner One obtained operational and financial influence over Midwest Partnership Dispensary Three and therefore recognized the transaction as a business combination as of the March 2025 regulatory approval date of this MSA. Total cash consideration for this transaction is $1,667, of which $833 was payable upon the regulatory approval of the MSA and the remainder is due at final closing, subject to certain closing adjustments. This agreement also provides for an earn-out payment, to be paid in cash, based on 3.2-times EBITDA (as defined) that is achieved during a specified twelve-month period, less the purchase price, and had an initial fair value estimate of $1,600. Refer to Note 4, “Acquisitions,” and to Note 8, “Variable Interest Entities,” for additional information.</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 May 2025, Midwest Retail Partner One acquired an entity that owns and operates an adult-use dispensary (“Midwest Partnership Dispensary Four”) and also entered into a related MSA under which Midwest Retail Partner One will provide certain management and advisory services for a set fee while the underlying transaction is pending regulatory approval. Based on the provisions of this MSA, Midwest Retail Partner One obtained operational and financial influence over Midwest Partnership Dispensary Four and therefore recognized the transaction as a business combination as of the May 2025 regulatory approval date of this MSA. Total cash consideration for this transaction is $3,333, of which $1,667 was paid upon the regulatory approval of the MSA and the remainder will be due at final closing, subject to certain closing adjustments. This agreement also provides for an earn-out payment, to be paid in cash, based on 3.2-times EBITDA (as defined) that is achieved during a specified twelve-month period, less the purchase price, and had an initial fair value estimate of $1,900. Refer to Note 4, “Acquisitions,” and to Note 8, “Variable Interest Entities,” for additional information.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Northeast Retail Partner Two Loan Agreement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2025, the Company and a third party (“Northeast Retail Partner Two”) entered into a loan agreement pursuant to which the Company may provide to Northeast Retail Partner Two up to $2,500 of financing (the “Northeast Retail Partner Two Loan Agreement”). The Company has a direct equity ownership interest of 35% of the equity interests in the borrower and the Northeast Retail Partner Two Loan Agreement provides the Company with conversion options to obtain up to 100% at any time through the maturity date, subject to certain provisions and as may be permitted by applicable regulations. The Northeast Retail Partner Two Loan Agreement also contains certain provisions and restrictive covenants that provide the Company with operational and financial influence over Northeast Retail Partner Two and provides the Company with financial distributions based on the associated results of operations. The Company determined that the terms and provisions of the Northeast Retail Partner Two Loan Agreement create a variable interest in Northeast Retail Partner Two and met the criteria for consolidation as of such date.</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and Northeast Retail Partner Two entered into a definitive agreement to acquire an entity that received licensing approvals for the operation of an adult-use dispensary for a total of $650 of cash consideration. This agreement is subject to regulatory approval, which is expected to be received within the first half of 2026, subject to the discretion of the applicable regulatory authorities. The consideration was allocated to the cost of the license, of which $250 was paid at signing. The remaining $400 was due at the earlier of: (i) the first sale of cannabis at the associated dispensary, or (ii) the one year anniversary of the agreement date, and, accordingly, was paid upon the one year anniversary in February 2026. This amount is included as a sellers’ note as of December 31, 2025; refer to Note 11, “Debt,” in the Financial Statements. Additionally, the Company recorded an acquisition-related deferred tax liability of $285, which was allocated to the license as additional cost basis as of the effective date. The Company will also assume the lease associated with the anticipated dispensary location.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and the net loss attributable to the non-controlling interest was not significant during 2025. Since the entity is consolidated as a VIE, the intercompany activity related to the Northeast Retail Partner Two Loan Agreement is eliminated in consolidation. Refer to Note 8, “Variable Interest Entities,” in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Northeast Retail Partner Four Loan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March 2025, the Company and a third party (“Northeast Retail Partner Four”) entered into a loan agreement pursuant to which the Company may provide to Northeast Retail Partner Four up to $2,500 of financing (the “Northeast Retail Partner Four Loan Agreement”). The Company has a direct equity ownership interest of 35% of the equity interests in the borrower and the Northeast Retail Partner Four Loan Agreement and associated agreements provide the Company with conversion options to obtain up to 100% at any time through the maturity date, subject to certain provisions and as may be permitted by applicable regulations. The Northeast Retail Partner Four Loan Agreement also contains provisions and restrictive covenants that provide the Company with operational and financial influence over Northeast Retail Partner Four and the underlying operating agreement provides the Company with financial distributions based on the associated results of operations. The Company determined that the terms and provisions of the Northeast Retail Partner Four Loan Agreement and associated agreements create a variable interest in Northeast Retail Partner Four and met the criteria for consolidation as of such date.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Since the entity is consolidated as a VIE, the intercompany activity related to the Northeast Retail Partner Four Loan Agreement is eliminated in consolidation.</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and Northeast Retail Partner Four entered into a definitive agreement to acquire an entity that received licensing approvals for the operation of an adult-use dispensary, subject to regulatory approval which is expected to be received within twelve to eighteen months following the signing date, for a total of $1,500 of cash consideration. Of the total consideration, $250 was paid as a deposit during the fourth quarter of 2024 and was included within “Other current assets” on the Consolidated Balance Sheets in the Financial Statements as of December 31, 2024, $250 was paid at signing, and the remaining $1,000 will be paid at final closing and is included as a sellers’ note; refer to Note 11, “Debt” in the Financial Statements. The Company will also assume the lease associated with the dispensary location. Of the total consideration, $1,383 was allocated to the cost of the license as of the effective date and $117 was allocated to the security deposit for the associated lease, which had a lease liability and ROU asset of $872 and is classified as a finance lease; refer to Note 10, “Leases,” for additional information regarding the Company’s lease arrangements. Additionally, the Company recorded an acquisition-related deferred tax liability of $607, which was allocated to the license as additional cost basis as of the effective date. The net loss attributable to the non-controlling interest was not significant during the year ended December 31, 2025. Refer to Note 8, “Variable Interest Entities,” in the Financial Statements for additional information.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Northeast Retail Partner Three Activity</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2025, a consolidated VIE of the Company (“Northeast Retail Partner Three”) entered into a definitive agreement to acquire an adult-use dispensary (“Northeast Partnership Dispensary One”). The parties also entered into a consulting agreement under which Northeast Retail Partner Three will provide management and advisory services for a set fee, which became effective in June 2025 and will remain in place until regulatory approval of the definitive agreement is received and the underlying transaction thereby closes. Based on the provisions of this consulting agreement, Northeast Retail Partner Three obtained operational and financial influence over Northeast Partnership Dispensary One and therefore recognized the transaction as a business combination as of the June 2025 effective date of this consulting agreement. Total cash consideration for Northeast Partnership Dispensary One is $3,250, of which $813 was paid at signing and the remainder was paid at final closing in December 2025. Refer to Note 4, “Acquisitions,” and to Note 8, “Variable Interest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2025, Northeast Retail Partner Three acquired an entity that owns and operates two adult-use dispensaries (“Northeast Partnership Dispensaries Two and Three”), which transaction was completed pursuant to a definitive agreement that was signed in February 2025 and was subject to certain closing conditions, including regulatory approval of the underlying transaction, which was received prior to closing. The purchase price consists of $7,850 of cash consideration, subject to certain working capital and other customary adjustments, and of which $250 was paid as a deposit at signing. Total cash consideration included the settlement of $4,779 related to an outstanding note with a principal balance of $4,100 and associated interest. As of the closing date, the Company paid $1,541, which included an initial working capital estimate of $1,040. In December 2025, the parties agreed to a revised working capital estimate, including repayment of $1,598 for certain pre-acquisition liabilities, that reduced this estimate by $2,609, with the resulting net estimate of $289 included within “Other current assets” on the Consolidated Balance Sheet as of December 31, 2025. The final working capital adjustment and any resulting payment is due on the one-year anniversary of closing. This transaction also provides for an earn-out payment, payable in cash, in an amount equal to the lesser of $2,000 or three times the Annual EBITDA (as defined) during the one-year period following closing. The initial fair value estimate of $1,800 for this earn-out was determined utilizing an income approach based on a probability-weighted estimate of the future payment discounted using the Company’s estimated incremental borrowing rate and is classified within Level 3 of the fair value hierarchy. Refer to Note 4, “Acquisitions,” and to Note 8, “Variable Interest Entities,” for additional information.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Other Activity</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2025, the Company acquired a conditional adult-use license for $2,000 of cash consideration. This transaction was accounted for as an asset acquisition as of the effective date and the total cash consideration was allocated as the cost of the license acquired. Of the total cash consideration, $1,000 was paid to the seller as of the effective date and the remainder was remitted to escrow, to be released to the seller upon regulatory approval of the underlying license transfer, which remains pending. The Company also assumed the lease for the associated dispensary location which had a lease liability and ROU asset of $1,710 as of the effective date and is classified as a finance lease; refer to Note 10, “Leases,” for additional information regarding the Company’s leases. Additionally, the Company recorded an acquisition-related deferred tax liability of $878, which was allocated to the license as additional cost basis as of the effective date. Direct transaction costs were not material. Refer to Note 4, “Acquisitions,” for additional information.</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2025, the Company exercised an option to acquire Ohio Patient Access, LLC (“OPA”), pursuant to a definitive agreement that was entered into in 2022, as amended (the “Ohio Agreement”). As further described in Note 4, “Acquisitions,” the related transaction closed in October 2025 and the Company remitted $7,000 of the remaining consideration at that time. The remaining $2,000 of total transaction consideration will be remitted upon the final transfer of each of two additional licenses that OPA was subsequently awarded, which transfer is expected to occur after the related dispensary locations open.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Regulation Overview</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175" w:lineRule="exact"/>
        <w:rPr>
          <w:sz w:val="20"/>
          <w:szCs w:val="20"/>
          <w:color w:val="auto"/>
        </w:rPr>
      </w:pPr>
    </w:p>
    <w:p>
      <w:pPr>
        <w:jc w:val="both"/>
        <w:ind w:left="660" w:right="2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$61,018, or 11%, during 2025, as compared to 2024, primarily driven by declines across our legacy business resulting from increased competition and pricing pressure in most of our markets, partially offset by incremental revenue from acquisitions and consolidated partnership activity.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$17,012 during 2025, as compared to operating profit of $4,734 during 2024. Our results for 2025 include a $17,000 settlement expense related to an arbitration matter (refer to “</w:t>
      </w:r>
      <w:r>
        <w:rPr>
          <w:rFonts w:ascii="Times New Roman" w:cs="Times New Roman" w:eastAsia="Times New Roman" w:hAnsi="Times New Roman"/>
          <w:sz w:val="18"/>
          <w:szCs w:val="18"/>
          <w:i w:val="1"/>
          <w:iCs w:val="1"/>
          <w:color w:val="auto"/>
        </w:rPr>
        <w:t>Management’s Discussion and Analysis of Financial Condition and Results of Operations–Legal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Matters–Green Thumb Industries Arbitration Matter</w:t>
      </w:r>
      <w:r>
        <w:rPr>
          <w:rFonts w:ascii="Times New Roman" w:cs="Times New Roman" w:eastAsia="Times New Roman" w:hAnsi="Times New Roman"/>
          <w:sz w:val="18"/>
          <w:szCs w:val="18"/>
          <w:color w:val="auto"/>
        </w:rPr>
        <w:t>” for additional information). Additionally, the current year was impacted by lower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improved margins, which were largely attributable to certain strategic initiatives implemented during the second half of 2024, and higher general and administrative expenses attributable to certain one-time costs, including expenses associated with our debt refinancing and other strategic initiatives.</w:t>
      </w:r>
    </w:p>
    <w:p>
      <w:pPr>
        <w:spacing w:after="0" w:line="13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decrease in cash and cash equivalents of $2,578 during 2025, primarily resulting from investments in capital assets and payments associated with acquisitions, offset by funding provided by improvements in working capital management and net proceeds from the issuance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The Year Ended December 31, 2025 Compared with the Year Ended December 31, 2024</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671"/>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9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500,581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561,599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(61,018)</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(330,901)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(377,389)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(46,488)</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169,680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184,210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14"/>
        </w:trPr>
        <w:tc>
          <w:tcPr>
            <w:tcW w:w="20" w:type="dxa"/>
            <w:vAlign w:val="bottom"/>
          </w:tcPr>
          <w:p>
            <w:pPr>
              <w:spacing w:after="0"/>
              <w:rPr>
                <w:sz w:val="18"/>
                <w:szCs w:val="18"/>
                <w:color w:val="auto"/>
              </w:rPr>
            </w:pP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Gross profit %</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169,692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179,476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expense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186,692</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179,476</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(17,012)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4,734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(459)%</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(51,294)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(45,263)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(49,803)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(44,556)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(66,815)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(39,822)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68%</w:t>
            </w: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(51,378)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(45,172)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(118,193)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(84,994)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meaningful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decreased by $61,018, or 11%, during 2025, as compared to 2024. Revenue across legacy dispensary locations declined by $62,998, primarily driven by softness in Illinois, New Jersey, and Massachusetts that was partially offset by a benefit from adult-use sales in Ohio which began during the third quarter of 2024. Additionally, the decrease was partially offset by a contribution of $22,474 of incremental revenue from partner stores and by $7,850 of incremental revenue from new store openings that occurred in the second half of 2024 that were associated with previously acquired licenses. Our consolidated results include 47 dispensaries as of December 31, 2025, compared to 39 as of December 31, 2024. Net revenue from our wholesale operations declined by $28,344 resulting from increased competition and price compression across certain markets, particularly in Illinois and New Jersey, as well as from an increased focus on selling products through Company-owned and partner stores. During 2025, we sold approximately 225,000 pounds of wholesale product, on a gross basis, compared to approximately 187,000 pounds sold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Cost of goods sold decreased by $46,488, or 12%, during 2025, as compared to 2024. Cost of goods sold represents direct and indirect expenses attributable to the production of wholesale products as well as direct expenses incurred in purchasing products from other wholesalers. Gross profit for 2025 was $169,680, representing a gross margin of 33.9%, compared to gross profit of $184,210 and gross margin of 32.8% for 2024. Gross margin in the current year benefitted from improved realization at certain cultivation facilities and better production output across our cultivation facilities, primarily Illinois and Massachusetts, and a benefit from a higher volume of Company-produced products sold through our retail stores and partner stores, partially offset by increased competition and pricing pressure across most of our markets, particularly in New Jersey and Illinois. The current year includes a $9,855 benefit from a rebalancing of overhead expenses at certain cultivation locations from cost of goods sold to general and administrative expenses based on overhead allocations relative to production output at those locations, but was impacted by $13,003 of higher write-downs of certain inventory items related to net realizable value adjustments, expired products, and obsolete packaging.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decreased by $9,784, or 5%, during 2025, as compared to 2024. The decrease was primarily related to:</w:t>
      </w:r>
    </w:p>
    <w:p>
      <w:pPr>
        <w:spacing w:after="0" w:line="171" w:lineRule="exact"/>
        <w:rPr>
          <w:sz w:val="20"/>
          <w:szCs w:val="20"/>
          <w:color w:val="auto"/>
        </w:rPr>
      </w:pPr>
    </w:p>
    <w:p>
      <w:pPr>
        <w:jc w:val="both"/>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$10,265 decrease in total compensation expense, including $9,670 lower equity-based compensation expense that was largely due to the acceleration of certain awards in the prior year, offset by the forfeiture of other awards, compared with slightly higher headcount in the current year due to the expansion of consolidated operations;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$5,447 estimated reserve recognized in the prior year related to certain amounts that the Company was working to recover that were associated with a previous transaction;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$2,083 reserve and a $984 discount recognized on a long-term receivable in the prior year;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$1,250 benefit from a purchase price adjustment recognized in the current year that was related to a previous acquisition; and</w:t>
      </w:r>
    </w:p>
    <w:p>
      <w:pPr>
        <w:spacing w:after="0" w:line="171" w:lineRule="exact"/>
        <w:rPr>
          <w:rFonts w:ascii="Times New Roman" w:cs="Times New Roman" w:eastAsia="Times New Roman" w:hAnsi="Times New Roman"/>
          <w:sz w:val="18"/>
          <w:szCs w:val="18"/>
          <w:color w:val="auto"/>
        </w:rPr>
      </w:pPr>
    </w:p>
    <w:p>
      <w:pPr>
        <w:ind w:right="220" w:firstLine="332"/>
        <w:spacing w:after="0" w:line="438" w:lineRule="auto"/>
        <w:tabs>
          <w:tab w:leader="none" w:pos="6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benefit of $647 related to fair value adjustments associated with acquisition earn-outs, compared to a net expense of $630 in the prior year. These decreases were partially offset by:</w:t>
      </w:r>
    </w:p>
    <w:p>
      <w:pPr>
        <w:ind w:left="660" w:right="3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$6,766 increase in overhead expenses, including $9,855 of expenses associated with a rebalancing of certain overhead expenses from cost of goods sold, as well as costs associated with the expansion of operations, partially offset by ongoing cost control initiatives;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$6,067 increase in depreciation and amortization expense, which was attributable to a larger average balance of fixed assets in service and $2,911 of accelerated amortization associated with a change in the estimated useful life of certain intangible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Expense</w:t>
      </w:r>
    </w:p>
    <w:p>
      <w:pPr>
        <w:spacing w:after="0" w:line="17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During 2025, we recognized an expense of $17,000 related to the settlement of an arbitration matter (refer to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Operations–Legal Matters–Green Thumb Industries Arbitration Matter</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expense increased by $6,031, or 13%, during 2025, as compared to 2024. The increase was primarily driven by higher cash interest expense associated with new term notes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further information) and higher interest on finance leases (refer to Note 10, “Leases,” in the Financial Statements for additional information). The prior year period includes a $5,475 loss on extinguishment associated with the prepayment of certain previously outstanding loans. Excluding finance leases, the Company had a weighted-average outstanding debt balance of $357,390 during 2025 with a weighted-average interest rate of 11.5%, compared to a weighted-average debt balance of $321,097 during 2024 with a weighted-average interest rate of 10.9%.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Internal Revenue Service (“IRS”) has taken the position that cannabis companies are subject to the limitations of Internal Revenue Code (“IRC”) Section 280E, under which such companies are only allowed to deduct expenses directly related to the sales of product (cost of goods sold).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an uncertain tax liability totaling $203,884 and $149,407, respectively, for uncertain tax positions related to the treatment of certain transactions and deductions under IRC Section 280E based on legal interpretations that challenge the Company’s tax liability under IRC Section 280E; refer to Note 14, “Income Taxes,” in the Financial Statements for additional information.</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statutory federal tax rate was 21% during both years. The Company has operations in seven U.S. geographic markets: Illinois, Maryland, Massachusetts, Michigan, Ohio, New Jersey, and Pennsylvania, which have state tax rates ranging from 6% to 11.5%. Certain states, including Illinois, Maryland, Massachusetts, Michigan, New Jersey, and Pennsylvania, do not align with IRC Section 280E for state tax purposes and permit the deduction of ordinary and necessary business expenses from gross profit in the calculation of state taxable income.</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was $51,378, or 30.3% of gross profit, during 2025, as compared to $45,172, or 24.5% of gross profit, during 2024. Income tax expense for 2025 includes a valuation allowance of $1,803 primarily attributable to various states’ net operating loss and credit carryforwards related to limitations on business interest expense carryover amounts. Additionally, the effective tax rate on gross profit for 2025 was impacted by higher penalties and interest due on tax payments and uncertain tax positions, partially offset by a benefit from an incremental impact attributable to the tax treatment of certain acquired intangible assets. Refer to Note 14, “Income Taxes,” in the Financial Statements for additional information regarding the Company’s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gain or loss on sale of assets, and litigation settlement. Accordingly, management believes that Adjusted EBITDA provides meaningful and useful financial information, as this measure demonstrates the operating performance of the business. The tables below provide reconciliations of these non-GAAP measures to the most comparable U.S. GAAP financial measure. Non-GAAP financial measures may be considered in addition to the results prepared in accordance with U.S. GAAP, but they should not be considered a substitute for, or superior to, U.S. GAAP results. The Company’s presentation of these financial measures may not be comparable to similar non-GAAP measures used by other companies.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Gross Profit for 2025 and 2024:</w:t>
      </w:r>
    </w:p>
    <w:p>
      <w:pPr>
        <w:spacing w:after="0" w:line="20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169,680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184,210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included in cost of goods sold</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 included in cost of goods sold</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7,659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15,862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219,972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225,906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Adjusted Gross Margin</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40.2%</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for the 2025 and 2024:</w:t>
      </w:r>
    </w:p>
    <w:p>
      <w:pPr>
        <w:spacing w:after="0" w:line="20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(118,193)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(84,994)</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45,172</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45,263</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66,157</w:t>
            </w:r>
          </w:p>
        </w:tc>
      </w:tr>
      <w:tr>
        <w:trPr>
          <w:trHeight w:val="230"/>
        </w:trPr>
        <w:tc>
          <w:tcPr>
            <w:tcW w:w="20" w:type="dxa"/>
            <w:vAlign w:val="bottom"/>
          </w:tcPr>
          <w:p>
            <w:pPr>
              <w:spacing w:after="0"/>
              <w:rPr>
                <w:sz w:val="19"/>
                <w:szCs w:val="19"/>
                <w:color w:val="auto"/>
              </w:rPr>
            </w:pPr>
          </w:p>
        </w:tc>
        <w:tc>
          <w:tcPr>
            <w:tcW w:w="7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2,859</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18,480</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Start-up costs</w:t>
            </w:r>
            <w:r>
              <w:rPr>
                <w:rFonts w:ascii="Times New Roman" w:cs="Times New Roman" w:eastAsia="Times New Roman" w:hAnsi="Times New Roman"/>
                <w:sz w:val="23"/>
                <w:szCs w:val="23"/>
                <w:color w:val="auto"/>
                <w:vertAlign w:val="superscript"/>
              </w:rPr>
              <w:t>(2)</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3,185</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Transaction-related and other non-recurring expenses</w:t>
            </w:r>
            <w:r>
              <w:rPr>
                <w:rFonts w:ascii="Times New Roman" w:cs="Times New Roman" w:eastAsia="Times New Roman" w:hAnsi="Times New Roman"/>
                <w:sz w:val="23"/>
                <w:szCs w:val="23"/>
                <w:color w:val="auto"/>
                <w:vertAlign w:val="superscript"/>
              </w:rPr>
              <w:t>(3)</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20,746</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480" w:type="dxa"/>
            <w:vAlign w:val="bottom"/>
          </w:tcPr>
          <w:p>
            <w:pPr>
              <w:spacing w:after="0"/>
              <w:rPr>
                <w:sz w:val="19"/>
                <w:szCs w:val="19"/>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116,912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116,177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20.7%</w:t>
            </w:r>
          </w:p>
        </w:tc>
      </w:tr>
    </w:tbl>
    <w:p>
      <w:pPr>
        <w:spacing w:after="0" w:line="158"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other expenses resulting from delays in regulatory approvals, and other related one-time or non-recurring expenses, as applicable. The 2025 amount includes $9,855 of unallocated overhead expenses at certain cultivation facilities resulting from rebalancing of overhead expenses from cost of goods sold to general and administrative expenses based on overhead allocations relative to production output at those locations.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non-recurring expenses including legal and professional fees associated with litigation matters, potential acquisitions, other regulatory matters, and other reserves or one-time expenses, including certain non-recurring professional fees and severance expenses associated with certain strategic initiatives. The 2025 amount includes approximately $700 of expenses associated with our May 2025 term loans and approximately $400 of expenses associated with our January 2025 term loans. Additionally, 2025 includes a benefit of $1,250 related to a consideration adjustment for a prior acquisition and a net benefit of $647 related to fair value adjustments associated with acquisition earn-outs. The 2024 amount includes a reserve of $5,447 related to certain amounts associated with a previous transaction, a reserve of $2,083 and a $984 discount that are associated with a long-term receivable, approximately $3,600 of expenses associated with our 2024 debt refinancing, and $630 related to an acquisition earn-out.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Year Ended December 31, 2024 Compared with the Year Ended December 31, 2023</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discussion comparing our operating results for the year ended December 31, 2024 with the year ended December 31, 2023, refer to Management’s Discussion and Analysis of Financial Condition and Results of Operations included in our Form 10-K for the year ended December 31, 2024, filed with each of the U.S. Securities and Exchange Commission and the relevant Canadian securities regulatory authorities on March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capital expenditures and improvements in existing facilities, and product development and marketing, as well as customer, supplier, and investor and industry relations.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Historically, we have used private financing as a source of liquidity for short-term working capital needs and general corporate purposes. In May 2021, we completed an Initial Public Offering (“IPO”) of shares of our Class A common stock through which we raised aggregate net proceeds of approximately $86,065 after deducting underwriting discounts and commissions and certain direct offering expenses paid by us. In August 2021, we entered into a credit facility under which we initially borrowed $210,000 through term loans. During the second quarter of 2022, we borrowed an additional $65,000 of term loans from certain lenders under the expansion feature of this credit facility, as further described below. During the second quarter of 2023, we raised an aggregate of $7,000 in gross proceeds through a non-brokered private placement offering of an aggregate of 9,859 shares of the Company’s Class A common stock to a single investor. In July 2024, we issued term notes in aggregate principal of $235,000, which proceeds were used, together with cash on hand, to prepay a portion of our other term loans then-outstanding, as discussed further below. In January 2025, we issued an additional $15,000, in aggregate principal, of term loans for general corporate purposes, including to fund growth initiatives, and in May 2025 we issued an additional $50,000, in aggregate principal, of term loans, which proceeds were utilized, along with cash on hand, to prepay the remaining $60,000 then-outstanding under our previous credit facility, as discussed further below.</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total current liabilities of $109,009 and $144,541, respectively, and total current assets of $208,949 and $229,376, respectively, which includes cash and cash equivalents of $85,676 and $88,254, respectively, to meet its current obligations. As of December 31, 2025, the Company had working capital of $99,940, compared to $84,835 as of December 31, 2024.</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Approximately 94% and 93% of the Company’s cash and cash equivalents balance as of December 31, 2025 and 2024, respectively,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the Company has had recurring losses that have resulted in an accumulated deficit as of December 31, 2025 and 2024, as reflected in the Financial Statements, the Company has generated positive net cash flows from operating activities during 2025, 2024, and 2023. As of December 31, 2025, the Company had cash and cash equivalents of $85,676, which, combined with anticipated cash flows from operating activities, management believes is more than adequate to support operations for the next twelve months from the date of issuance of this Annual Report on Form 10-K. Over the longer term, management expects to fund the Company’s operations and strategic initiatives with cash flows from operating activities and existing financing arrangements, and the Company currently does not have significant debt maturities until 2029. Management may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Term Notes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16, 2024, the Company issued $235,000 in aggregate principal of senior secured notes due July 16, 2029 (the “July 2024 Term Notes”) through a private placement (the “2024 Notes Offering”)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July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 The July 2024 Loan Agreement permitted the Company, subject to certain limitations, to issue additional notes thereunder, including up to an additional $60,000 in aggregate principal, with the proceeds therefrom to be used to prepay the remaining outstanding balance under, and to terminate, the 2021 Credit Facility.</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In May 2025, the Company issued an additional $50,000, in aggregate principal, of term notes (the “May 2025 Term Notes,” and, together with the July 2024 Term Notes and January 2025 Term Notes, the “2024 Term Notes”) which proceeds were utilized, along with cash on hand, to prepay the remaining $60,000 of borrowings outstanding under the 2021 Credit Facility, as further described below. The January 2025 Term Notes and the May 2025 Term Notes were funded by existing lenders and met the criteria for modification accounting treatment. The total of the original issue discount and other capitalized direct financing fees was approximately $700 for the January 2025 Term Notes and $1,600 for the May 2025 Term Notes, which amounts will be amortized over the associated terms using the straight-line method, which approximates the interest method. The Company incurred approximately $400 of other expenses associated with the January 2025 Term Notes and $700 associated with the May 2025 Term Notes which were not capitalizable and are included within “General and administrative expenses” on the Consolidated Statements of Operations in the Financial Statements for 2025.</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and, in turn, those lenders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July 2024 Term Notes, subject to certain carveouts, and (ii) issued and governed by the July 2024 Loan Agreement.</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In January 2025, the July 2024 Loan Agreement was amended to modify certain terms and provisions, which amended terms and provisions were not due to actual or anticipated covenant violations. The July 2024 Loan Agreement requires the Company, on a consolidated basis, to maintain liquidity, consisting of cash and/or cash equivalents plus any future revolving credit availability, as of the last day of each fiscal month, as amended, in an aggregate amount of at least $20,000, with which the Company was in compliance as of December 31, 2025. The Company is required to comply with certain other financial covenants in contemplation of certain transactions or events, such as acquisitions and other financing activities, as defined within and provided for under the July 2024 Loan Agreement, as amended.</w:t>
      </w:r>
    </w:p>
    <w:p>
      <w:pPr>
        <w:spacing w:after="0" w:line="133" w:lineRule="exact"/>
        <w:rPr>
          <w:sz w:val="20"/>
          <w:szCs w:val="20"/>
          <w:color w:val="auto"/>
        </w:rPr>
      </w:pPr>
    </w:p>
    <w:p>
      <w:pPr>
        <w:ind w:right="1660" w:firstLine="648"/>
        <w:spacing w:after="0" w:line="438" w:lineRule="auto"/>
        <w:rPr>
          <w:sz w:val="20"/>
          <w:szCs w:val="20"/>
          <w:color w:val="auto"/>
        </w:rPr>
      </w:pPr>
      <w:r>
        <w:rPr>
          <w:rFonts w:ascii="Times New Roman" w:cs="Times New Roman" w:eastAsia="Times New Roman" w:hAnsi="Times New Roman"/>
          <w:sz w:val="18"/>
          <w:szCs w:val="18"/>
          <w:color w:val="auto"/>
        </w:rPr>
        <w:t xml:space="preserve">Refer to Note 11, “Debt,” in the Financial Statements for additional information regarding the Company’s debt transactions. </w:t>
      </w:r>
      <w:r>
        <w:rPr>
          <w:rFonts w:ascii="Times New Roman" w:cs="Times New Roman" w:eastAsia="Times New Roman" w:hAnsi="Times New Roman"/>
          <w:sz w:val="18"/>
          <w:szCs w:val="18"/>
          <w:b w:val="1"/>
          <w:bCs w:val="1"/>
          <w:i w:val="1"/>
          <w:iCs w:val="1"/>
          <w:color w:val="auto"/>
        </w:rPr>
        <w:t>Credit Facility</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The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2021 Credit Facility had a maturity date of August 27, 2025 and did not require scheduled principal amortization payments. Prepayments were permitted at any time, subject to a customary make-whole payment or prepayment penalty, as applicable. In July 2024, the Company prepaid $215,000 of borrowings outstanding under the 2021 Credit Facility (the “July 2024 Prepayment”), primarily utilizing the proceeds from the issuance of the 2024 Term Notes, as discussed above. The Company recognized, as a component of interest expense during the third quarter of 2024, a loss on extinguishment of $5,475 related to the July 2024 Prepayment, which included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remained capitalized and were deferred over the term of the 2024 Term Notes in accordance with modification treatment. A total of $943 of unamortized deferred financing costs were associated with the portion of the 2021 Credit Facility that was not prepaid and were amortized through the remaining term of those loans.</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total of $60,000 remained outstanding under the 2021 Credit Facility following the July 2024 Prepayment and was subsequently prepaid in full in May 2025 (the “May 2025 Prepayment”) utilizing the proceeds from the May 2025 Term Notes, along with cash on hand, as further described above. In conjunction with the May 2025 Prepayment, the Company recognized a loss on extinguishment of $126, primarily consisting of unamortized deferred financing costs that were then-outstanding. Following the May 2025 Prepayment, the 2021 Credit Facility was terminated and the obligations thereunder were considered satisfied in full. Refer to Note 11, “Debt,” in the Financial Statements for additional information regarding the 2021 Credit Facility and the Company’s other debt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Note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29, 2025, certain of the Company’s subsidiaries (the “Borrowing Subsidiaries”) entered into a loan agreement and related promissory note with an aggregate principal amount of $9,345 (the “Mortgage Note”), which was borrowed in full. The Company anticipates utilizing the net proceeds for general corporate purposes, including to fund growth initiatives. The Mortgage Note matures on September 29, 2030 and borrowings thereunder bear interest at a rate of 8.5% per annum. Monthly payments of principal and interest commenced on November 1, 2025. Principal will be repaid based on an amortization period of twenty years and any unpaid principal and accrued interest will be due and payable upon maturity. As of December 31, 2025, $187 of principal is included within “Current portion of debt, net” and $9,133 is included within “Long-term debt, net” on the Consolidated Balance Sheet. The Company incurred $102 of direct financing fees associated with the Mortgage Note, which will be amortized over the respective term. The obligations under the Mortgage Note are secured by mortgages on three properties that the Company owns in Ohio, as well as assignment of any leases and rent amounts related to these properties that the Company may enter into. The Mortgage Note contains customary representations and events of default. The Borrowing Subsidiaries have agreed to comply with certain customary covenants, including, but not limited to, restrictions on their ability to: incur additional indebtedness; create certain liens; make material changes to the nature of the business conducted; and sell, lease, transfer, or otherwise dispose of all or a substantial part of their assets. The Mortgage Note also requires the Borrowing Subsidiaries to maintain a debt service coverage ratio (as defined in the Mortgage Note) of not less than 1.30 to 1.00 measured annually based on the entire calendar year and commencing on December 31,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38,053</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73,292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75,334</w:t>
            </w:r>
          </w:p>
        </w:tc>
      </w:tr>
      <w:tr>
        <w:trPr>
          <w:trHeight w:val="257"/>
        </w:trPr>
        <w:tc>
          <w:tcPr>
            <w:tcW w:w="20" w:type="dxa"/>
            <w:vAlign w:val="bottom"/>
          </w:tcPr>
          <w:p>
            <w:pPr>
              <w:spacing w:after="0"/>
              <w:rPr>
                <w:sz w:val="22"/>
                <w:szCs w:val="22"/>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(37,196)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(59,890)</w:t>
            </w:r>
          </w:p>
        </w:tc>
      </w:tr>
      <w:tr>
        <w:trPr>
          <w:trHeight w:val="257"/>
        </w:trPr>
        <w:tc>
          <w:tcPr>
            <w:tcW w:w="2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(20,350)</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(17,082)</w:t>
            </w: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$38,053 during 2025, as compared to $73,292 during 2024. The current year reflects $36,570 of cash interest paid on debt arrangements, compared with $16,894 in the prior year. The current year also reflects improvements in working capital management, including a net benefit from the collection of receivables and the timing of payments to suppliers and vendors, whereas the prior year included a benefit from tax refunds totaling approximately $28,000.</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$2,042 lower during 2024, as compared to 2023. The slight decrease was primarily driven by an impact from the timing and management of payments to suppliers and vendors and other working capital payments, including the payment of approximately $3,600 of expenses associated with our debt refinancing that were not capitalizable and $2,458 of fair value accretion associated with the payment of contingent consideration related to a prior acquisition. During 2024 we received income tax refunds totaling approximately $28,000, whereas, 2023 includes the recognition of the $22,794 ERTC Claim, of which $20,830 was received.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$45,736 during 2025, as compared to $37,196 during 2024. The increase was primarily due to higher capital expenditures and payments associated with acquisitions as compared to the prior year, whereas the prior year includes a greater benefit from the collection of a note receivable.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$22,694 lower during 2024, as compared to 2023, primarily due to lower net investments in notes receivable and lower payments associated with acquisitions, partially offset by the absence of proceeds from the sale of assets and slightly higher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$5,105 during 2025, as compared to $20,350 of net cash used in 2024. The current year reflects the receipt of net proceeds from the Mortgage Note and other term notes issued in 2025, net of related financing costs, partially offset by the May 2025 Prepayment and repurchases of common stock. The prior year reflects the utilization of proceeds from the issuance of the July 2024 Term Notes to partially prepay amounts then-outstanding under the 2021 Credit Facility and related financing costs, as well as the remittance of taxes withheld under equity-based compensation plans and the payment of contingent consideration associated with a prior acquisition.</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$3,268 higher during 2024, as compared to 2023, primarily reflecting higher cash remittances of taxes withheld under equity-based compensation plans, the payment of contingent consideration associated with a prior acquisition, and the repurchase of common stock through a specific transaction. Additionally, 2024 reflects lower net repayments of debt and related financing costs, whereas 2023 benefitted from proceeds received from the issuance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material future contractual obligations as of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6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Commitments Due by Period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2027 - 2028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2029 - 2030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Term notes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Fixed interest related to term notes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Mortgage Note</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(5)</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Lease financing liabilities</w:t>
            </w:r>
            <w:r>
              <w:rPr>
                <w:rFonts w:ascii="Times New Roman" w:cs="Times New Roman" w:eastAsia="Times New Roman" w:hAnsi="Times New Roman"/>
                <w:sz w:val="23"/>
                <w:szCs w:val="23"/>
                <w:color w:val="auto"/>
                <w:vertAlign w:val="superscript"/>
              </w:rPr>
              <w:t>(6)</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1,370,515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40" w:hanging="332"/>
        <w:spacing w:after="0" w:line="225"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Principal payments due under our term notes payable as of December 31, 2025. Refer to Note 11, “Debt,” in the Financial Statements for additional information regarding our debt arrangements.</w:t>
      </w:r>
    </w:p>
    <w:p>
      <w:pPr>
        <w:spacing w:after="0" w:line="87"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fixed interest rate payments on borrowings under our term notes based on the principal outstanding at December 31, 2025. Interest payments could fluctuate based on prepayments or additional amounts borrowed.</w:t>
      </w:r>
    </w:p>
    <w:p>
      <w:pPr>
        <w:spacing w:after="0" w:line="88"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payments due monthly on borrowings under our Mortgage Note, which consist of principal and interest. Refer to Note 11, “Debt,” in the Financial Statements for additional information.</w:t>
      </w:r>
    </w:p>
    <w:p>
      <w:pPr>
        <w:spacing w:after="0" w:line="88"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amounts owed for acquisitions or other similar transactions. Certain cash payments include an interest accretion component, and the timing of certain payments may vary based on regulatory approval. Refer to Note 11, “Debt,”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leases and an estimate for anticipated extension periods, as applicable. Refer to Note 10, “Leases,”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operating leases that did not meet the criteria to qualify for sale-leaseback treatment. Refer to Note 10, “Leases,” in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above excludes up to an additional total of $10,000 that we expect to fund under a research collaboration agreement associated with a prior acquisition and of which $819 was remitted during 2025. The remainder will be paid based on a percentage of annual revenue through April 2031, unless satisfied earlier. Refer to Note 15, “Commitments and Contingencies,” in the Financial Statements for additional information. Additionally, the Company has commercial relationships with license holders across the markets in which it operates with mutually beneficial purchasing and supply arrangements entered into in the ordinary course of business.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do not have any off-balance sheet arrangements, as defined by applicable regulations of the United States Securities and Exchange Commission (the “SEC”), that have, or are reasonably likely to have, a material current or future effect on the results of our operations or financial condition, including, and without limitation, such considerations as liquidity and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net capital expenditures of approximately $20,000 during 2026.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2026, we expect to provide funding for partner dispensaries and the build out of additional dispensaries across our network. We also anticipate completing certain expansion projects across our cultivation facilities in addition to other enhancements and general maintenance activities across our portfolio. Management expects to fund capital expenditures primarily by utilizing cash flows from operations.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our construction in progress (“CIP”) balance was $9,634 and relates to capital spending on projects that were not yet complete. This balance includes amounts related to: certain enhancement projects at our New Jersey, Illinois, Michigan, and Massachusetts cultivation facilities; certain build out projects at partner dispensaries; and other projects across our dispensaries and cultivation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2024, the Company’s board of directors (the “Board”) authorized a share buyback program (the “Buyback Program”) which permitted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Buyback Program expired on January 1, 2026. The total number of shares purchased, timing of purchases, and share prices were dependent upon market conditions and business considerations, any applicable securities law requirements, CSE rules, and any determination of best use of cash available at the time. Purchases under the Buyback Program commenced in February 2025, at the discretion of the Company’s management, and the shares purchased through the Buyback Program were cancelled. Through December 31, 2025, a total of 4,801 shares were purchased under the Buyback Program for an aggregate cost, inclusive of fees, of $2,311, thereby utilizing the total permitted under the Buyback Program for the cost basis of the purchases and no share purchase remained available under the Buyback Program. Refer to Note 12, “Stockholders’ Equity,” in the Financial Statements for additional information regarding the Company’s capital structure and other equity-related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r>
        <w:rPr>
          <w:rFonts w:ascii="Times New Roman" w:cs="Times New Roman" w:eastAsia="Times New Roman" w:hAnsi="Times New Roman"/>
          <w:sz w:val="18"/>
          <w:szCs w:val="18"/>
          <w:b w:val="1"/>
          <w:bCs w:val="1"/>
          <w:color w:val="auto"/>
        </w:rPr>
        <w: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December 31, 2025, there were 5,348 shares of Class A common stock available for grant for future equity-based compensation awards under the Amended 2021 Plan.</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2025, the Company granted a total of 225 RSUs under the Amended 2021 Plan, and as of December 31, 2025, a total of 2,420 RSUs that are granted are unvested. Total unrecognized compensation cost related to the RSUs was $1,814 as of December 31, 2025, which is expected to be recognized over a weighted-average remaining period of 2.0 years.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 total of 12,447 stock option awards are outstanding under the Amended 2021 Plan, of which 4,920 are exercisable. A total of 9,936 options were granted during 2025 and a total of 347 were exercised. As of December 31, 2025, the outstanding options have a remaining weighted-average contractual life of 1.6 years and total unrecognized stock-based compensation expense related to unvested options was $842, which is expected to be recognized over a weighted-average remaining period of 1.2 years.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2024, and 2023, the Company recognized $1,151, $10,821, and $11,833, respectively, of equity-based compensation expense within “General and administrative expenses” on the Consolidated Statements of Operations in the Financial Statements and recognized $1,946, $7,659, and $6,511, respectively, within “Cost of goods sold.”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an employee stock purchase plan (the “2021 ESPP”), pursuant to which 4,000 shares of Class A common stock are reserved for issuance thereunder, subject to certain adjustments and other terms. As of December 31, 2025, no shares have been issued under the 2021 ESPP.</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13, “Equity-Based Compensation Expense,” in the Financial Statements for additional information regarding the Company’s equity awards and equity-based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Transactions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2024, the Company completed a non-brokered private transaction with a single investor through which it repurchased and retired 11,000 shares of Class A common stock for an aggregate of $2,750, which shares represented approximately 5% of the then-outstanding shares of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Lease-Related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10, “Leases,” in the Financial Statements for additional information regarding the Company’s leases.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Receivable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6, “Notes Receivable,” in the Financial Statements for additional information regarding the Company’s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Below is a description of our significant legal matters and the related impact, as applicable, on our financial condition, results of operations, and prospects. Refer to Note 15, “Commitments and Contingencies,” in the Financial Statements for additional information regarding this and other legal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 Thumb Industries Arbitration Matter</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31, 2024, Green Thumb Industries Inc. and TWD18, LLC (collectively, “GTI”) initiated an arbitration proceeding before JAMS, a private alternative dispute resolution provider (“JAMS”), against the Company and Ascend Group Partners, LLC relating to a June 4, 2018 side letter agreement (the “Side Letter”). The arbitration concerned certain contractual obligations and payment terms under the Side Letter arising out of prior commercial arrangements between the parties. GTI asserted claims for breach of contract and related causes of action and sought monetary damages and related relief. The Company denied the allegations and asserted counterclaims against GTI.</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December 8, 2025 through December 12, 2025, a five-day evidentiary hearing was conducted before the arbitrator. On February 5, 2026, the arbitrator issued an award (the “Award”) determining that GTI had established approximately $22,116 of damages on its breach-of-contract claim and that the Company had established approximately $2,363 of damages on one of its counterclaims, resulting in a net award in favor of GTI of approximately $19,753.</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issuance of the Award, management, in consultation with outside legal counsel and other expert external advisors and based on the advice, guidance, and analyses provided to management at the time, evaluated the arbitration matter in accordance with applicable accounting guidance for loss contingencies. Based on that assessment, management concluded that a loss was not probable and that an estimate of potential loss was not reasonably determinable, and further believed based on that assessment that it was more probable than not that the matter would result in a net award to the Company. Accordingly, no accrual was recorded in the Company’s consolidated financial statements prior to December 31, 2025.</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11, 2026, the Company entered into a settlement agreement with GTI (the “Settlement Agreement”) pursuant to which the parties agreed to resolve the arbitration and satisfy the Award in exchange for a negotiated payment amount of $17,000. The Company paid the agreed settlement amount on February 12, 2026, and the arbitration award has been fully satisfied. The Settlement Agreement resolves all claims asserted in the arbitration proceeding and does not affect the Company’s other commercial relationships with GTI. The Company does not expect the Settlement Agreement to result in a material disruption to its ongoing operations.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a settlement expense of $17,000, which is reflected within “Settlement expense” on the Consolidated Statements of Operations in the Financial Statements for 2025 and is included within “Accounts payable and accrued liabilities” on the accompanying Consolidated Balance Sheet as of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of Ohio Complaint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6, 2026, the Attorney General of the State of Ohio filed a complaint against the Company and eight other multi-state operators (“MSOs”) in the cannabis industry with operations in Ohio, alleging anticompetitive collusion among the MSOs to exclude single state operators based in Ohio from the cannabis market. The Company denies the claims with respect to the Company and plans to vigorously contest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Transactions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2025, the Company entered into a definitive agreement pursuant to which the Company proposes to exchange its Ohio cultivation license and facility and related assets (the “Ohio Cultivation Assets”) for an entity that anticipates obtaining an adult-use license in New Jersey and $1,000 of cash consideration. Pursuant to this definitive agreement, the Company also proposes to acquire an entity in Ohio that owns and operates a dispensary in Ohio in exchange for a conditional dispensary license that the Company expects to receive, plus an additional $1,000 of cash consideration. This transaction is subject to certain closing conditions, including regulatory approvals. The Ohio Cultivation Assets were being contemplated for sale in this specific transaction with this specific buyer and the Company determined the Ohio Cultivation Assets do not meet the criteria to be classified as held-for-sale as of December 31, 2025. The total of the Ohio Cultivation Assets was approximately $8,500 as of December 31, 2025, including $3,700 of intangible assets, net, $3,000 of goodwill, $1,300 of inventory, and $300 of property and equipment, net.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United Stated generally accepted accounting principles requires our management to make certain estimates that affect the reported amounts. We base our estimates on historical experience, known or expected trends, independent valuations, and carious other assumptions that we believe to be reasonable under the circumstances. Estimates and assumptions are reviewed periodically, and the effects of revisions are reflected in the consolidated financial statements in the period they are determined to be necessary. As future events and their effects cannot be determined with precision, actual results could differ significantly from these estimates.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“Basis of Presentation and Significant Accounting Policies,” in the Financial Statements, including standards adopted during the current year, none of which had a material impact on our consolidated financial statements. There have been no other significant changes to our critical accounting policies and estimates. We believe the following critical accounting policies govern the more significant judgments and estimates used in the preparation of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accounting considerations on and after acquisition.</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all identifiable assets and liabilities acquired, the most significant estimates relate to intangible assets.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us the ability to operate in each market. The key assumptions used in calculating the fair value of these intangible assets are cash flow projections that include discount rates and terminal growth rates. In calculating the fair value of the cannabis licenses acquired through business combinations during 2025 and 2024, management selected discount rates that vary depending upon the markets in which each of the acquisitions operate in, generally ranging between 15% and 30%. The terminal growth rate represents the rate at which these businesses will continue to grow into perpetuity. Management selected a terminal growth rate of 3%. Other significant assumptions include revenue, gross profit, operating expenses and anticipated capital expenditures which are based upon the Company’s historical operations along with management projections. The evaluations are linked closely to the assumptions made by management regarding the future performance of these assets. Unanticipated events and circumstances may occur that could affect the accuracy or validity of such assumptions, estimates, or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Assets, and Other Long-Lived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and intangible assets are recorded at their estimated fair values at the date of acquisition. We review goodwill for impairment annually during the fourth fiscal quarter and whenever events or changes in circumstances indicate the carrying value may not be recoverable. Accounting Standards Codification Topic 350, “Intangibles – Goodwill and Other” (“ASC 350”) permits the assessment of qualitative factors to determine whether events and circumstances lead to the conclusion that it is more-likely-than-not that the fair value of a reporting unit is less than its carrying amount, which would require a quantitative impairment test. Otherwise, no further testing is required.</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qualitative assessment of the recoverability of goodwill considers various macroeconomic, industry-specific, and company-specific factors. These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more-likely-than-not that the fair value of any of our reporting units is less than its carrying amount, no further assessment is performed. If we determine that it is more-likely-than-not that the fair value of any of our reporting units is less than its carrying amount, we calculate the fair value of that reporting unit and compare the fair value to the reporting unit’s net book value.</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required, the quantitative test involves a comparison of the estimated fair value of a reporting unit to its carrying amount. The fair value of a reporting unit is determined using a combination of the income approach and the market approach. The income approach incorporates the use of a discounted cash flow method in which the estimated future cash flows and terminal value are calculated for each reporting unit and then discounted to present value using an appropriate discount rate. The market approach estimates fair value of a reporting unit by using market comparables for reasonably similar public companies. When applying valuation techniques, the Company relies on a number of factors, including historical results, business plans, forecasts, and market data. Changes in the conditions for these judgments and estimates can significantly affect the assessed value of goodwill. If the estimated fair value of a reporting unit exceeds its carrying amount, goodwill of the reporting unit is not impaired. If the carrying amount of a reporting unit exceeds its estimated fair value, then an impairment charge is recorded for the amount by which the carrying amount exceeds the reporting unit’s fair value, up to a maximum amount of the goodwill balance for the reporting unit.</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2024, and 2023, we performed our annual impairment review of goodwill using a qualitative approach for our two goodwill reporting units and determined that it was not more-likely-than-not that there was impairment of goodwill. As such, no impairment on goodwill was recognized during 2025, 2024, or 2023.</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amortizable finite-intangible assets and other long-lived assets, such as property, plant and equipment, for potential impairment whenever events or changes in circumstances indicate that the carrying amounts of the assets may not be fully recoverable. If an indicator of impairment exists, judgment is required in considering the facts and circumstances surrounding these long-lived assets and assumptions are required to estimate future cash flows used in assessing the recoverable amount of the long-lived asset. Useful lives are reviewed annually. During 2025, 2024, and 2023, we did not note any factors resulting in impairment charges or changes to useful lives for finite-lived intangible assets or other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we expect to realize by selling the inventory, and the contractual arrangements with customers. Reserves for excess and obsolete inventory are based upon quantities on hand, projected volumes from demand forecasts, and net realizable value. These estimates are judgmental in nature and are made at a point in time, using available information, expected business plans, and expected market conditions. As a result, the actual amount received on sale may be affected by market-driven changes that reduce future selling prices and could differ from the estimated value of inventory. Periodic reviews are performed on the inventory balance. The impact of changes in inventory valuation adjustments and reserves is reflected as cost of goods sold.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leases other than short-term leases (those with an initial term of twelve months or less), we recognize lease ROU assets and lease liabilities on the Consolidated Balance Sheets. At the commencement of each lease, we evaluate the lease agreement to determine whether it is an operating or finance lease. The evaluation requires significant judgments in determining the fair value of the lease ROU asset and the lease liability, appropriate lease terms, and evaluation of other factors that impact lease classification. Lease liabilities are initially recognized based on the net present value of the fixed portion of our lease payments from lease commencement through the lease term. To calculate the net present value, we apply an incremental borrowing rate that is estimated as the rate of interest we would pay to borrow an amount equal to the lease payments on a collateralized basis over a similar term. We use quoted interest rates as an input to derive our incremental borrowing rate as the discount rate for the lease. We recognize ROU assets based on lease liabilities reduced by lease incentives, including tenant improvement allowances. We assess ROU assets for impairment in the same manner as long-lived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we exercise control and have significant influence over entities in which we directly or indirectly have an interest. We have control when we have the power over the subsidiary, have exposure or rights to variable returns, and have the ability to use our power to affect the returns. Significant influence is defined as the power to participate in the financial and operating decisions of the subsidiaries. Where we are determined to have control, these entities are consolidated, generally as variable interest entities. Additionally, judgment is applied in determining the effective date on which control was obtained.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authorities have the ability to review and challenge matters that could be subject to differing interpretations of applicable tax laws and regulations as they relate to the amount, character, timing, or inclusion of revenue and expenses or the sustainability of tax attributes. The ultimate resolution of such uncertainties could last several years. The Company utilizes internal and external expertise in interpreting tax laws to support the Company’s tax positions and records uncertain tax positions based on the largest benefit amount to be realized upon settlement of the matter.</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IRS has taken the position that IRC Section 280E prevents cannabis companies from deducting any business expenses other than those directly related to the sales of product. The Company has estimated an uncertain tax position primarily related to the treatment of certain transactions and deductions under IRC Section 280E based on legal interpretations that challenge the Company’s tax liability under IRC Section 280E.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Recently Issued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about our recently adopted accounting standards and recently issued accounting standards not yet adopted, see Note 2, “Basis of Presentation and Significant Accounting Policies,”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further described in the subsections “Overview of Government Regulation,” “Compliance with Applicable State Laws in the United States,” and “State Regulation of Cannabis,” under Item 1., “Business,”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We mitigate these risks by assessing, monitoring and approving our risk management processes.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December 31, 2025 is the carrying amount of cash and cash equivalents. We do not have significant credit risk with respect to our customers. The majority of our cash and cash equivalents are placed with major U.S. financial institutions. We provide credit to our customers in the normal course of business. We have established credit evaluation and monitoring processes to mitigate credit risk but have limited risk as the majority of our sales are transacted with cash.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the Company has had recurring losses that have resulted in an accumulated deficit as of December 31, 2025 and 2024, as reflected in the Financial Statements, the Company has generated positive net cash flows from operating activities during 2025, 2024, and 2023. As of December 31, 2025, the Company had cash and cash equivalents of $85,676, which, combined with anticipated cash flows from operating activities, management believes is more than adequate to support operations for the next twelve months from the date of issuance of this Annual Report on Form 10-K. Management may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raw materials, and other commodity prices. Strategic and operational risks may arise if we fail to carry out business operations and/or raise sufficient equity and/or debt financing. Strategic opportunities or threats may arise from a range of factors that might include changing economic and political circumstances and regulatory approvals and competitor actions. We seek to mitigate such risks by consideration of potential development opportunities and challenges.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Cash and cash equivalents bear interest at market rates. Our financial debts have fixed rates of interest and therefore expose us to a limited interest rate fair value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Commodities Price Risk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The primary raw materials used by us aside from those cultivated internally are labels and packaging. Management believes a hypothetical 10% change in the price of these materials would not have a significant effect on our consolidated results of operations or cash flows, as these costs are generally passed through to our customers. However, such an increase could have an impact on our customers’ demand for our products, and we are not able to quantify the impact of such potential change in demand on our annual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100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Firm ID 100)</w:t>
            </w:r>
          </w:p>
        </w:tc>
        <w:tc>
          <w:tcPr>
            <w:tcW w:w="52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96</w:t>
            </w:r>
          </w:p>
        </w:tc>
        <w:tc>
          <w:tcPr>
            <w:tcW w:w="480" w:type="dxa"/>
            <w:vAlign w:val="bottom"/>
            <w:shd w:val="clear" w:color="auto" w:fill="CCEEFF"/>
          </w:tcPr>
          <w:p>
            <w:pPr>
              <w:spacing w:after="0"/>
              <w:rPr>
                <w:sz w:val="15"/>
                <w:szCs w:val="15"/>
                <w:color w:val="auto"/>
              </w:rPr>
            </w:pP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Firm ID 324)</w:t>
            </w:r>
          </w:p>
        </w:tc>
        <w:tc>
          <w:tcPr>
            <w:tcW w:w="520" w:type="dxa"/>
            <w:vAlign w:val="bottom"/>
          </w:tcPr>
          <w:p>
            <w:pPr>
              <w:spacing w:after="0"/>
              <w:rPr>
                <w:sz w:val="16"/>
                <w:szCs w:val="16"/>
                <w:color w:val="auto"/>
              </w:rPr>
            </w:pPr>
          </w:p>
        </w:tc>
        <w:tc>
          <w:tcPr>
            <w:tcW w:w="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97</w:t>
            </w:r>
          </w:p>
        </w:tc>
        <w:tc>
          <w:tcPr>
            <w:tcW w:w="480" w:type="dxa"/>
            <w:vAlign w:val="bottom"/>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0"/>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2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189"/>
        </w:trPr>
        <w:tc>
          <w:tcPr>
            <w:tcW w:w="100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740" w:type="dxa"/>
            <w:vAlign w:val="bottom"/>
            <w:gridSpan w:val="2"/>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9"/>
              </w:rPr>
              <w:t>98</w:t>
            </w:r>
          </w:p>
        </w:tc>
        <w:tc>
          <w:tcPr>
            <w:tcW w:w="480" w:type="dxa"/>
            <w:vAlign w:val="bottom"/>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w:t>
            </w:r>
          </w:p>
        </w:tc>
        <w:tc>
          <w:tcPr>
            <w:tcW w:w="52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99</w:t>
            </w:r>
          </w:p>
        </w:tc>
        <w:tc>
          <w:tcPr>
            <w:tcW w:w="480" w:type="dxa"/>
            <w:vAlign w:val="bottom"/>
            <w:shd w:val="clear" w:color="auto" w:fill="CCEEFF"/>
          </w:tcPr>
          <w:p>
            <w:pPr>
              <w:spacing w:after="0"/>
              <w:rPr>
                <w:sz w:val="16"/>
                <w:szCs w:val="16"/>
                <w:color w:val="auto"/>
              </w:rPr>
            </w:pP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(Deficit)</w:t>
            </w:r>
          </w:p>
        </w:tc>
        <w:tc>
          <w:tcPr>
            <w:tcW w:w="740" w:type="dxa"/>
            <w:vAlign w:val="bottom"/>
            <w:gridSpan w:val="2"/>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6"/>
              </w:rPr>
              <w:t>100</w:t>
            </w:r>
          </w:p>
        </w:tc>
        <w:tc>
          <w:tcPr>
            <w:tcW w:w="480" w:type="dxa"/>
            <w:vAlign w:val="bottom"/>
          </w:tcPr>
          <w:p>
            <w:pPr>
              <w:spacing w:after="0"/>
              <w:rPr>
                <w:sz w:val="16"/>
                <w:szCs w:val="16"/>
                <w:color w:val="auto"/>
              </w:rPr>
            </w:pPr>
          </w:p>
        </w:tc>
      </w:tr>
      <w:tr>
        <w:trPr>
          <w:trHeight w:val="21"/>
        </w:trPr>
        <w:tc>
          <w:tcPr>
            <w:tcW w:w="10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740" w:type="dxa"/>
            <w:vAlign w:val="bottom"/>
            <w:tcBorders>
              <w:right w:val="single" w:sz="8" w:color="CCEEFF"/>
            </w:tcBorders>
            <w:gridSpan w:val="2"/>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6"/>
              </w:rPr>
              <w:t>101</w:t>
            </w:r>
          </w:p>
        </w:tc>
        <w:tc>
          <w:tcPr>
            <w:tcW w:w="480" w:type="dxa"/>
            <w:vAlign w:val="bottom"/>
            <w:shd w:val="clear" w:color="auto" w:fill="CCEEFF"/>
          </w:tcPr>
          <w:p>
            <w:pPr>
              <w:spacing w:after="0"/>
              <w:rPr>
                <w:sz w:val="16"/>
                <w:szCs w:val="16"/>
                <w:color w:val="auto"/>
              </w:rPr>
            </w:pPr>
          </w:p>
        </w:tc>
      </w:tr>
      <w:tr>
        <w:trPr>
          <w:trHeight w:val="20"/>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40" w:type="dxa"/>
            <w:vAlign w:val="bottom"/>
            <w:gridSpan w:val="2"/>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6"/>
              </w:rPr>
              <w:t>103</w:t>
            </w:r>
          </w:p>
        </w:tc>
        <w:tc>
          <w:tcPr>
            <w:tcW w:w="480" w:type="dxa"/>
            <w:vAlign w:val="bottom"/>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 Wellness Holdings, Inc. and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Ascend Wellness Holdings, Inc. and its subsidiaries (the “Company”) as of December 31, 2025, and the related consolidated statements of operations, changes in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(PCAOB ID No. 324)</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Ascend Wellness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Ascend Wellness Holdings, Inc. and its subsidiaries (the “Company”) as of December 31, 2024, the related consolidated statements of operations, changes in stockholders’ equity, and cash flows for each of the two years in the period ended December 31, 2024, and the related notes to the consolidated financial statements (collectively, the “financial statements”). In our opinion, the financial statements present fairly, in all material respects, the financial position of the Company as of December 31, 2024, and the results of its operations and its cash flows for each of the two years in the period ended December 31, 2024,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2021 to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Walnut Creek,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7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60" w:type="dxa"/>
            <w:vAlign w:val="bottom"/>
            <w:tcBorders>
              <w:top w:val="single" w:sz="8" w:color="auto"/>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Notes receivable</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208,949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229,376</w:t>
            </w:r>
          </w:p>
        </w:tc>
        <w:tc>
          <w:tcPr>
            <w:tcW w:w="0" w:type="dxa"/>
            <w:vAlign w:val="bottom"/>
          </w:tcPr>
          <w:p>
            <w:pPr>
              <w:spacing w:after="0"/>
              <w:rPr>
                <w:sz w:val="1"/>
                <w:szCs w:val="1"/>
                <w:color w:val="auto"/>
              </w:rPr>
            </w:pPr>
          </w:p>
        </w:tc>
      </w:tr>
      <w:tr>
        <w:trPr>
          <w:trHeight w:val="212"/>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260,461</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139,067</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205,502</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49,599</w:t>
            </w:r>
          </w:p>
        </w:tc>
        <w:tc>
          <w:tcPr>
            <w:tcW w:w="0" w:type="dxa"/>
            <w:vAlign w:val="bottom"/>
          </w:tcPr>
          <w:p>
            <w:pPr>
              <w:spacing w:after="0"/>
              <w:rPr>
                <w:sz w:val="1"/>
                <w:szCs w:val="1"/>
                <w:color w:val="auto"/>
              </w:rPr>
            </w:pPr>
          </w:p>
        </w:tc>
      </w:tr>
      <w:tr>
        <w:trPr>
          <w:trHeight w:val="216"/>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16,426</w:t>
            </w:r>
          </w:p>
        </w:tc>
        <w:tc>
          <w:tcPr>
            <w:tcW w:w="0" w:type="dxa"/>
            <w:vAlign w:val="bottom"/>
          </w:tcPr>
          <w:p>
            <w:pPr>
              <w:spacing w:after="0"/>
              <w:rPr>
                <w:sz w:val="1"/>
                <w:szCs w:val="1"/>
                <w:color w:val="auto"/>
              </w:rPr>
            </w:pPr>
          </w:p>
        </w:tc>
      </w:tr>
      <w:tr>
        <w:trPr>
          <w:trHeight w:val="212"/>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907,929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5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84,793</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and other lease financing liabilities, current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109,009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144,541</w:t>
            </w:r>
          </w:p>
        </w:tc>
        <w:tc>
          <w:tcPr>
            <w:tcW w:w="0" w:type="dxa"/>
            <w:vAlign w:val="bottom"/>
          </w:tcPr>
          <w:p>
            <w:pPr>
              <w:spacing w:after="0"/>
              <w:rPr>
                <w:sz w:val="1"/>
                <w:szCs w:val="1"/>
                <w:color w:val="auto"/>
              </w:rPr>
            </w:pPr>
          </w:p>
        </w:tc>
      </w:tr>
      <w:tr>
        <w:trPr>
          <w:trHeight w:val="212"/>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214,421</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60,546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267,221</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and other lease financing liabilities, non-current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20,121</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23,439</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210,459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158,887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954,546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828,630</w:t>
            </w:r>
          </w:p>
        </w:tc>
        <w:tc>
          <w:tcPr>
            <w:tcW w:w="0" w:type="dxa"/>
            <w:vAlign w:val="bottom"/>
          </w:tcPr>
          <w:p>
            <w:pPr>
              <w:spacing w:after="0"/>
              <w:rPr>
                <w:sz w:val="1"/>
                <w:szCs w:val="1"/>
                <w:color w:val="auto"/>
              </w:rPr>
            </w:pPr>
          </w:p>
        </w:tc>
      </w:tr>
      <w:tr>
        <w:trPr>
          <w:trHeight w:val="19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7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Preferred stock, $0.001 par value per share; 10,000 shares authorized, none issued and outstanding as of December 31,</w:t>
            </w:r>
          </w:p>
        </w:tc>
        <w:tc>
          <w:tcPr>
            <w:tcW w:w="4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 and 2024, respectively (Note 12)</w:t>
            </w:r>
          </w:p>
        </w:tc>
        <w:tc>
          <w:tcPr>
            <w:tcW w:w="4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per share; 750,000 shares authorized, 202,152 and 204,961 shares issued and</w:t>
            </w: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outstanding as of December 31, 2025 and 2024, respectively (Note 12)</w:t>
            </w: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7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per share, 100 shares authorized, 65 shares issued and outstanding as of</w:t>
            </w:r>
          </w:p>
        </w:tc>
        <w:tc>
          <w:tcPr>
            <w:tcW w:w="4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December 31, 2025 and 2024, respectively (Note 12)</w:t>
            </w:r>
          </w:p>
        </w:tc>
        <w:tc>
          <w:tcPr>
            <w:tcW w:w="4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471,129</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(400,356)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(Deficit) equity of Ascend Wellness Holdings, Inc. common stockholders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70,978</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(46,617)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71,801</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 (DEFICIT)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907,929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179070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net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(377,389)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(363,470)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169,680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184,210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Settlement expense</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186,692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179,476</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(loss) profit</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expense</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400" w:type="dxa"/>
            <w:vAlign w:val="bottom"/>
            <w:tcBorders>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(118,193)</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(84,994)</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(48,214)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Net loss per share attributable to Class A and Class B stockholders — basic and</w:t>
            </w: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4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diluted (Note 12)</w:t>
            </w:r>
          </w:p>
        </w:tc>
        <w:tc>
          <w:tcPr>
            <w:tcW w:w="4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 — basic and diluted</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80" w:type="dxa"/>
            <w:vAlign w:val="bottom"/>
            <w:gridSpan w:val="5"/>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Class A and Class B</w:t>
            </w:r>
          </w:p>
        </w:tc>
        <w:tc>
          <w:tcPr>
            <w:tcW w:w="140" w:type="dxa"/>
            <w:vAlign w:val="bottom"/>
          </w:tcPr>
          <w:p>
            <w:pPr>
              <w:spacing w:after="0"/>
              <w:rPr>
                <w:sz w:val="15"/>
                <w:szCs w:val="15"/>
                <w:color w:val="auto"/>
              </w:rPr>
            </w:pPr>
          </w:p>
        </w:tc>
        <w:tc>
          <w:tcPr>
            <w:tcW w:w="4000" w:type="dxa"/>
            <w:vAlign w:val="bottom"/>
            <w:gridSpan w:val="8"/>
          </w:tcPr>
          <w:p>
            <w:pPr>
              <w:ind w:left="40"/>
              <w:spacing w:after="0"/>
              <w:rPr>
                <w:sz w:val="20"/>
                <w:szCs w:val="20"/>
                <w:color w:val="auto"/>
              </w:rPr>
            </w:pPr>
            <w:r>
              <w:rPr>
                <w:rFonts w:ascii="Times New Roman" w:cs="Times New Roman" w:eastAsia="Times New Roman" w:hAnsi="Times New Roman"/>
                <w:sz w:val="15"/>
                <w:szCs w:val="15"/>
                <w:b w:val="1"/>
                <w:bCs w:val="1"/>
                <w:color w:val="auto"/>
              </w:rPr>
              <w:t>Attributable to Ascend Wellness Holdings, Inc. Common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8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Additional Paid-</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84"/>
              <w:spacing w:after="0" w:line="149"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9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Equity</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4"/>
                <w:szCs w:val="14"/>
                <w:color w:val="auto"/>
              </w:rPr>
            </w:pPr>
          </w:p>
        </w:tc>
        <w:tc>
          <w:tcPr>
            <w:tcW w:w="8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b w:val="1"/>
                <w:bCs w:val="1"/>
                <w:color w:val="auto"/>
              </w:rPr>
              <w:t>In Capital</w:t>
            </w:r>
          </w:p>
        </w:tc>
        <w:tc>
          <w:tcPr>
            <w:tcW w:w="160" w:type="dxa"/>
            <w:vAlign w:val="bottom"/>
          </w:tcPr>
          <w:p>
            <w:pPr>
              <w:spacing w:after="0"/>
              <w:rPr>
                <w:sz w:val="14"/>
                <w:szCs w:val="14"/>
                <w:color w:val="auto"/>
              </w:rPr>
            </w:pPr>
          </w:p>
        </w:tc>
        <w:tc>
          <w:tcPr>
            <w:tcW w:w="12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b w:val="1"/>
                <w:bCs w:val="1"/>
                <w:color w:val="auto"/>
              </w:rPr>
              <w:t>Interests</w:t>
            </w:r>
          </w:p>
        </w:tc>
        <w:tc>
          <w:tcPr>
            <w:tcW w:w="160" w:type="dxa"/>
            <w:vAlign w:val="bottom"/>
          </w:tcPr>
          <w:p>
            <w:pPr>
              <w:spacing w:after="0"/>
              <w:rPr>
                <w:sz w:val="14"/>
                <w:szCs w:val="14"/>
                <w:color w:val="auto"/>
              </w:rPr>
            </w:pPr>
          </w:p>
        </w:tc>
        <w:tc>
          <w:tcPr>
            <w:tcW w:w="800" w:type="dxa"/>
            <w:vAlign w:val="bottom"/>
          </w:tcPr>
          <w:p>
            <w:pPr>
              <w:jc w:val="right"/>
              <w:ind w:right="144"/>
              <w:spacing w:after="0" w:line="142" w:lineRule="exact"/>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188,064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430,375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(267,148)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5"/>
                <w:szCs w:val="15"/>
                <w:color w:val="auto"/>
              </w:rPr>
              <w:t>Shares issued in private offering, net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offering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5"/>
                <w:szCs w:val="15"/>
                <w:color w:val="auto"/>
              </w:rPr>
              <w:t>Shares issued in acquisitions or asset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Vesting of equity-based payment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(48,214)</w:t>
            </w: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458,027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(315,362)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Vesting of equity-based payment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(2,750)</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Repurchase of warrants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Recognition of non-controlling interests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(84,994)</w:t>
            </w: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205,026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471,129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(400,356)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70,978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Vesting of equity-based payment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202,217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470,907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(518,549)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(47,440)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(118,193)</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(84,994)</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(48,214)</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58,983</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interest expense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8,486</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19,776</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sale of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21,550</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(14,197)</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(14,885)</w:t>
            </w: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26,807</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38,245</w:t>
            </w:r>
          </w:p>
        </w:tc>
      </w:tr>
      <w:tr>
        <w:trPr>
          <w:trHeight w:val="20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73,292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75,334</w:t>
            </w:r>
          </w:p>
        </w:tc>
      </w:tr>
      <w:tr>
        <w:trPr>
          <w:trHeight w:val="199"/>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capital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(24,248)</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notes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(19,857)</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(15,943)</w:t>
            </w:r>
          </w:p>
        </w:tc>
      </w:tr>
      <w:tr>
        <w:trPr>
          <w:trHeight w:val="20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(45,736)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(37,196)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(59,890)</w:t>
            </w:r>
          </w:p>
        </w:tc>
      </w:tr>
      <w:tr>
        <w:trPr>
          <w:trHeight w:val="199"/>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issuance of common stock in private placement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of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(23,188)</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of finance leases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 and warrants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(20,350)</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(17,082)</w:t>
            </w: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r>
      <w:tr>
        <w:trPr>
          <w:trHeight w:val="214"/>
        </w:trPr>
        <w:tc>
          <w:tcPr>
            <w:tcW w:w="20" w:type="dxa"/>
            <w:vAlign w:val="bottom"/>
            <w:tcBorders>
              <w:bottom w:val="single" w:sz="8" w:color="CCEEFF"/>
            </w:tcBorders>
          </w:tcPr>
          <w:p>
            <w:pPr>
              <w:spacing w:after="0"/>
              <w:rPr>
                <w:sz w:val="18"/>
                <w:szCs w:val="18"/>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88,254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74,146</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85,676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6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paid on loans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16,894</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27,092</w:t>
            </w: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(refunds) payments,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w:t>
            </w: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w:t>
            </w: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 recognized upon initial consolidation of variable interest entities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shares in business acquisitions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to retail partner locations, and to third-party licensed retail locations. Additionally, the Company has contractual relationships with certain third-party license holders, which we refer to as “retail partner locations.” AWH is headquartered in Rochelle Park, New Jersey.</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periods prior to this date that may be referenced in these financial statements. We refer to this conversion throughout this filing as the “Conversion.” As a result of the Conversion, the members of Ascend Wellness Holdings, LLC became holders of shares of stock of Ascend Wellness Holdings, Inc. The historical consolidated financial statements prior to the Conversion date are those of Ascend Wellness Holdings, LLC and its subsidiaries.</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color w:val="auto"/>
        </w:rPr>
        <w:t>Shares of the Company’s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w:t>
      </w:r>
    </w:p>
    <w:p>
      <w:pPr>
        <w:spacing w:after="0" w:line="88" w:lineRule="exact"/>
        <w:rPr>
          <w:sz w:val="20"/>
          <w:szCs w:val="20"/>
          <w:color w:val="auto"/>
        </w:rPr>
      </w:pPr>
    </w:p>
    <w:p>
      <w:pPr>
        <w:ind w:right="4920" w:firstLine="8"/>
        <w:spacing w:after="0" w:line="440" w:lineRule="auto"/>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(the “Financial Statements”) have been prepared in accordance with generally accepted accounting principles in the United States of America (“U.S. GAAP”). 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round amounts in the Financial Statements to thousands, except per share or per unit amounts or as otherwise stated. We calculate all percentages, per-unit, and per-share data from the underlying whole-dollar amounts. Thus, certain amounts may not foot, crossfoot, or recalculate based on reported numbers due to rounding. The consolidated financial statements and the accompanying notes are expressed in U.S. dollars, which is the Company’s functional currency. Unless otherwise indicated, all references to years are to our fiscal year, which ends on December 31.</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federal securities laws and as such we are able to elect to follow scaled disclosure requirements for this filing and can delay adopting new or revised accounting standards until such time as those standards apply to private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the Company has had recurring losses that have resulted in an accumulated deficit as of December 31, 2025 and 2024, the Company has generated positive net cash flows from operating activities during 2025, 2024, and 2023. As of December 31, 2025, the Company had cash and cash equivalents of $85,676, which, combined with anticipated cash flows from operating activities, management believes is more than adequate to support operations for the next twelve months from the date of issuance of these Financial Statements. Management may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prior year amounts in the notes to the consolidated financial statements have been reclassified to conform with our current period presentation, including those presented within “Finance lease and other lease financing liabilities, current” and “Finance lease and other lease financing liabilities, non-current” on the Consolidated Balance Sheets, which were previously presented within “Current portion of debt, net” and “Long-Term debt, net.” These changes had no impact on our previously reported net loss. Refer to Note 10, “Leases,” and Note 11, “Debt,”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variable interested entity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assess all variable interests in the entity and use our judgment when determining if we are the primary beneficiary. In determining whether we are the primary beneficiary of a VIE, we assess whether we have the power to direct matters that most significantly impact the activities of the VIE and the obligation to absorb losses or the right to receive the benefits from the VIE that could potentially be significant to the VIE.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 we determine we are the primary beneficiary of a VIE, we consolidate the accounts of that VIE. The equity owned by other stockholders is shown as non-controlling interests in the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 See Note 8, “Variable Interest Entities,”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Non-controlling interests (“NCI”) represent equity interests in certain of our subsidiaries that are owned by outside parties. NCI may be initially measured at fair value or at the NCI’s proportionate share of the recognized amounts of the acquiree’s identifiable net assets, made on a transaction by transaction basis. The share of net assets attributable to NCI are presented as a component of equity and their share of net income or loss is recognized directly in equity, as applicable. Total comprehensive income or loss of subsidiaries is attributed to the Company and to the NCI, even if this results in the NCI having a deficit balance. See Note 4, “Acquisitions,” and Note 8, “Variable Interest Entities,” for additional information regarding the NCI associated with certain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securities with an original maturity of three months or less to be cash equivalents. Cash and cash equivalents include cash deposits in financial institutions plus cash held at retail locations. Cash and cash equivalents are stated at nominal value, which equals fair value. We did not hold significant cash equivalents or restricted cash balances as of December 31, 2025 and 2024.</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cash with various U.S. banks and credit unions with balances in excess of the Federal Deposit Insurance Corporation and National Credit Union Share Insurance Fund limits. The failure of a bank or credit union where we have significant deposits could result in a loss of a portion of such cash balances in excess of the insured limits, which could materially and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Accounts receivable are recorded at the invoiced amount, which may bear interest and do not require collateral. Past due balances are determined based on the contractual terms of the arrangements. Following the adoption of Accounting Standards Codification (“ASC”) Topic 326,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 Credit Losses </w:t>
      </w:r>
      <w:r>
        <w:rPr>
          <w:rFonts w:ascii="Times New Roman" w:cs="Times New Roman" w:eastAsia="Times New Roman" w:hAnsi="Times New Roman"/>
          <w:sz w:val="18"/>
          <w:szCs w:val="18"/>
          <w:color w:val="auto"/>
        </w:rPr>
        <w:t>(“ASC 326”), which became effective January 1, 2023, the Company estimates its allowance for doubtful accounts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receivables based on factors such as historical credit loss experience, age of receivable balances, current market conditions, and an assessment of receivables due from specific identifiable counterparties to determine whether these receivables are considered at risk or uncollectible. Accounts receivable are charged off against the allowance when collectability is determined to be permanently impaired.</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$2,301 and $2,119 in allowance for credit losses as of December 31, 2025 and 2024, respectively. Write-offs were not significant during 2025, 2024, or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Inventory includes the direct costs of seeds and growing materials, indirect costs (such as utilities, labor, depreciation, and overhead costs), and subsequent costs to prepare the products for ultimate sale, which include direct costs such as materials and indirect costs such as utilities and labor. All direct and indirect costs related to inventory are capitalized when they are incurred and they are subsequently classified to “Cost of goods sold” in the Consolidated Statements of Operations after the inventoried product is sold. Inventory is valued at the lower of cost and net realizable value, with cost determined using the weighted-average cost method for internally produced inventory and specific identification for purchased products, including finished goods, materials, and supplies. The Company reviews inventory for obsolete and slow-moving goods, and any such inventories are written down to net realizable value, which is recorded within “Cost of goods sold” on the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provide financing to various related and non-related businesses within the cannabis industry. These notes are generally classified as held for investment and are accounted for as financial instruments at their amortized cost basis in accordance with ASC Topic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The carrying amounts of notes receivable approximate fair value due to their short-term nature. Following the adoption of ASC 326,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allowances on notes receivable, where applicable, based on historical loss information, the financial condition of loan recipients, and various other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amortization, and impairment losses, if any. Land and construction in progress are not depreciated. Depreciation and amortization is calculated on a straight-line basis over the estimated useful lives of the assets which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Lives</w:t>
            </w:r>
          </w:p>
        </w:tc>
      </w:tr>
      <w:tr>
        <w:trPr>
          <w:trHeight w:val="27"/>
        </w:trPr>
        <w:tc>
          <w:tcPr>
            <w:tcW w:w="776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3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10 years or lease term</w:t>
            </w:r>
          </w:p>
        </w:tc>
      </w:tr>
      <w:tr>
        <w:trPr>
          <w:trHeight w:val="27"/>
        </w:trPr>
        <w:tc>
          <w:tcPr>
            <w:tcW w:w="77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 years</w:t>
            </w:r>
          </w:p>
        </w:tc>
      </w:tr>
      <w:tr>
        <w:trPr>
          <w:trHeight w:val="27"/>
        </w:trPr>
        <w:tc>
          <w:tcPr>
            <w:tcW w:w="776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Estimates of useful life and the method of depreciation are reviewed only when events or changes in circumstances indicate that the current estimates or depreciation method are no longer appropriate. Any changes are accounted for on a prospective basis as a change in estimate. Construction in progress is measured at cost and is reclassified upon completion as building or leasehold improvements, depending on the nature of the assets, and depreciated over the estimated useful life of the asset. Repairs and maintenance costs are expensed as incurred. Property and equipment is derecognized upon disposal or when no future economic benefits are expected from its use. Any gain or loss arising from derecognition of the asset is included in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leases land, buildings, equipment, and other capital assets which it uses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We account for leases in accordance with ASC Topic 842. We record right-of-use (“ROU”) assets, which represent the right to use an underlying asset for the lease term, and the corresponding lease liabilities, which represent the obligation to make lease payments arising from the lease, on the balance sheet.</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lease terms generally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 agreements generally do not contain any material residual value guarantees or material restrictive covenants. We may rent or sublease to third parties certain real property assets that we no longer use.</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Lease agreements may contain rent escalation clauses, rent holidays, or certain landlord incentives, including tenant improvement allowances. ROU assets include amounts for scheduled rent increases and are reduced by lease incentive amounts. Initial direct costs incurred by the Company are generally not material and are generally excluded from the calculation of ROU assets.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record ROU assets or lease liabilities for leases with an initial term of 12 months or less and we recognize payments for such leases in our Consolidated Statements of Operations on a straight-line basis over the lease term. We do not separate lease components from non-lease components for all asset classes. Sale-leasebacks are assessed to determine whether a sale has occurred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If a sale is determined not to have occurred, the underlying “sold” assets are not derecognized and a financing liability is established in the amount of cash received. Upon expiration or termination of the underlying lease, the sale will be recognized by removing the carrying value of the assets and financing liability, with a gain recognized on disposal for the difference between the two amounts, if any. A lease of property and equipment is classified as an operating lease whenever the terms of the lease do not transfer substantially all the risks and rewards of ownership to the Company. Lease payments are recognized as an expense on a straight-line basis over the lease term, except where another systematic basis is more representative of the time pattern in which the economic benefits are consumed. See Note 10, “Leases,” for additional information regarding our lease arrangements.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recorded at cost less accumulated amortization and accumulated impairment losses, if any. Intangible assets acquired in a business combination are measured at fair value at the acquisition date. These assets are amortized on a straight-line basis over their estimated useful lives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7"/>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months</w:t>
            </w:r>
          </w:p>
        </w:tc>
      </w:tr>
      <w:tr>
        <w:trPr>
          <w:trHeight w:val="24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 and permits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7"/>
        </w:trPr>
        <w:tc>
          <w:tcPr>
            <w:tcW w:w="9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 term</w:t>
            </w:r>
          </w:p>
        </w:tc>
      </w:tr>
      <w:tr>
        <w:trPr>
          <w:trHeight w:val="27"/>
        </w:trPr>
        <w:tc>
          <w:tcPr>
            <w:tcW w:w="93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useful life and amortization method are reviewed at the end of each reporting year, and the effect of any changes in estimate is accounted for on a prospective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 Life Intangible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purchase price of acquired businesses over the fair value of the assets acquired and liabilities assumed. Goodwill is allocated to the reporting unit in which the business that created the goodwill resides. The Company evaluates the recoverability of goodwill and indefinite life intangible assets, as applicable, annually; however, we could be required to evaluate the recoverability more often if impairment indicators exist. We have elected to make the first day of our fourth quarter the annual impairment assessment date for goodwill and have two goodwill reporting units.</w:t>
      </w:r>
    </w:p>
    <w:p>
      <w:pPr>
        <w:spacing w:after="0" w:line="1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the guidance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first qualitatively assessed to determine whether further impairment testing is necessary. Factors that management considers in this assessment include macroeconomic conditions, industry and market considerations, overall financial performance (both current and projected), changes in management and strategy, and changes in the composition or carrying amount of net assets. If this qualitative assessment indicates that it is more-likely-than-not that the fair value of a reporting unit is less than its carrying amount, a one-step test is then performed by comparing the fair value of a reporting unit to its carrying amount. If the fair value of a reporting unit is less than its carrying value, an impairment charge will be recorded for the difference between the fair value and carrying value, but is limited to the carrying value of the reporting unit’s goodwill. No impairment was recorded during 2025, 2024, or 2023.</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and indefinite life intangible assets are carried at cost less accumulated impairment losses. The Company reviews the classification each reporting period to determine whether the assessment made about the useful life as indefinite or finite is still appropriate. Any change is accounted for on a prospective basis as a change in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including property and equipment, finite life intangible assets, and lease-related ROU assets, whenever events or changes in circumstances indicate a potential impairment exists. We group assets at the lowest level for which cash flows are separately identifiable, referred to as an asset group. When indicators of potential impairment exist, we prepare a projected undiscounted cash flow analysis for the respective asset or asset group. If the sum of the undiscounted cash flow is less than the carrying value of the asset or asset group, an impairment loss is recognized equal to the excess of the carrying value over the fair value, if 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Observable inputs reflect market data obtained from independent sources, while unobservable inputs reflect our market assumptions. Preference is given to observable inputs. These two types of inputs create the following fair value hierarchy: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for identical instruments in active markets;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model-derived valuations whose inputs are observable or whose significant value drivers are observable; and</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Significant inputs to the valuation model are unobservable.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evaluate assets and liabilities subject to fair value measurements on a recurring and non-recurring basis to determine the appropriate level at which to classify them for each reporting period. The Company records cash, accounts receivable, notes receivable, and notes payable at cost. The fair values of our financial instruments approximate their carrying values based on their short term maturities or, for long-term notes payable, based on borrowing rates currently available to us for loans with similar terms and maturities and which inputs are considered to be Level 2 under the fair value hierarchy. Unless otherwise noted, it is management’s opinion that the Company is not exposed to significant interest or credit risks arising from these financial instruments. We had no transfers of assets or liabilities between any of the hierarchy levels during 2025 or 2024.</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and records acquisition date estimated fair value of contingent consideration as part of purchase price consideration for acquisitions, as applicable. The estimated fair value of contingent consideration is remeasured at each reporting date and any change in fair value is recognized within “General and administrative expenses” in the Consolidated Statements of Operations. The estimated fair value of contingent consideration is based on Level 3 inputs and may include assumptions and estimates regarding future operating results, discount rates, and probabilities assigned to various potential scenarios.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ROU assets. We estimate the fair value of these assets using primarily unobservable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Instruments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hybrid contracts that feature conversion options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t>
      </w:r>
      <w:r>
        <w:rPr>
          <w:rFonts w:ascii="Times New Roman" w:cs="Times New Roman" w:eastAsia="Times New Roman" w:hAnsi="Times New Roman"/>
          <w:sz w:val="18"/>
          <w:szCs w:val="18"/>
          <w:color w:val="auto"/>
        </w:rPr>
        <w:t>(“ASC 815”). ASC 815 requires companies to bifurcate conversion options and account for them as freestanding financial instruments according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certain criteria. If the embedded features do not meet the criteria for bifurcation, the convertible instrument is accounted for as a single hybrid instrument in accordance with ASC Topic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issue warrants to purchase Class A common stock or stock options. These instruments are recorded at fair value using the Black-Scholes option pricing model or a binomial model, based on the classification of the instrument. The classification of warrants as liabilities or equity is evaluated at issuance.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account for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On the date of the acquisition, we allocate the purchase price to the assets acquired and liabilities assumed at their estimated fair values. Goodwill on the acquisition date is measured as the excess of the purchase price over the fair values of assets acquired and liabilities assumed. While we use our best estimates and assumptions to accurately value assets acquired and liabilities assumed at the acquisition date, as well as contingent consideration, where applicable, our estimates are subject to refinement. As a result, during the measurement period, which may be up to one year from the acquisition date, we may record adjustments to the assets acquired and liabilities assumed with corresponding adjustments to goodwill. We recognize subsequent changes in the estimate of the amount to be paid under contingent consideration arrangements in the Consolidated Statements of Operations. We expense acquisition-related costs as incurred.</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acquisitions that are not deemed to be businesses, the assets acquired are recognized based on their cost to the Company as the acquirer and no gain or loss is recognized. The cost of assets acquired in a group is allocated to the individual assets within the group based on their relative fair values and does not give rise to goodwill. Transaction costs related to acquisitions of assets are included in the cost basis of the assets acquired.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and Litigation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be subject to lawsuits, investigations, and other claims related to employment, commercial, and other matters that arise out of operations in the normal course of business.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2021, the Company began to sponsor an employee retirement plan (the “401(k) Plan”) that provides eligible employees of the Company an opportunity to accumulate funds for retirement. The Company provides matching contributions on a discretionary basis. A total of $864 and $452 of matching contributions were made to the 401(k) Plan during 2025 and 2024, respectively. No matching contributions were made during 2023.</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employees are covered under collective bargaining agreements. We do not participate in multiemployer benefit plans under these agreements and have not paid significant Company contributions under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and liabilities are recognized for the future tax consequences attributable to temporary differences between the financial statement carrying amount of existing assets and liabilities and their respective tax basis. We measure deferred tax assets and liabilities using enacted tax rates expected to be applied to taxable income in the years in which those temporary differences are expected to be recovered. Deferred tax assets are reviewed for recoverability on an annual basis. A valuation allowance is recorded to reduce the carrying amount of a deferred tax asset to its realizable value unless it is more-likely-than-not that such asset will be realized. We recognize interest and penalties associated with tax matters as part of the income tax provision, if any, and include accrued interest and penalties with the related tax liability in the Consolidated Balance Sheet, if applicable.</w:t>
      </w:r>
    </w:p>
    <w:p>
      <w:pPr>
        <w:spacing w:after="0" w:line="135" w:lineRule="exact"/>
        <w:rPr>
          <w:sz w:val="20"/>
          <w:szCs w:val="20"/>
          <w:color w:val="auto"/>
        </w:rPr>
      </w:pPr>
    </w:p>
    <w:p>
      <w:pPr>
        <w:ind w:right="1560" w:firstLine="648"/>
        <w:spacing w:after="0" w:line="437" w:lineRule="auto"/>
        <w:rPr>
          <w:sz w:val="20"/>
          <w:szCs w:val="20"/>
          <w:color w:val="auto"/>
        </w:rPr>
      </w:pPr>
      <w:r>
        <w:rPr>
          <w:rFonts w:ascii="Times New Roman" w:cs="Times New Roman" w:eastAsia="Times New Roman" w:hAnsi="Times New Roman"/>
          <w:sz w:val="18"/>
          <w:szCs w:val="18"/>
          <w:color w:val="auto"/>
        </w:rPr>
        <w:t xml:space="preserve">Refer to Note 14, “Income Taxes,” for information regarding the provisions of Internal Revenue Code (“IRC”) Section 280E. </w:t>
      </w:r>
      <w:r>
        <w:rPr>
          <w:rFonts w:ascii="Times New Roman" w:cs="Times New Roman" w:eastAsia="Times New Roman" w:hAnsi="Times New Roman"/>
          <w:sz w:val="18"/>
          <w:szCs w:val="18"/>
          <w:b w:val="1"/>
          <w:bCs w:val="1"/>
          <w:color w:val="auto"/>
        </w:rPr>
        <w:t>Revenue Recognition</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(“Topic 606”). Under Topic 606, revenue recognition depicts the transfer of promised goods or services to a customer in an amount that reflects the consideration to which we expect to be entitled in exchange for those goods or services. Revenue recognition is aligned with the delivery of goods and services and is recognized at a point in time or over time, the assessment of which requires judgment.</w:t>
      </w:r>
    </w:p>
    <w:p>
      <w:pPr>
        <w:spacing w:after="0" w:line="1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Topic 606, revenue is recognized when a customer obtains control of promised goods or services. The amount of revenue reflects the consideration to which the Company expects to be entitled to receive in exchange for these goods or services. The Company applies the following five-step analysis to determine whether, how much, and when revenue is recognized: (1) identify the contract with the customer; (2) identify the performance obligation in the contract; (3) determine the transaction price; (4) allocate the transaction price to the performance obligation in the contract; and (5) recognize revenue when or as the Company satisfies a performance obligation.</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Topic 606, revenue from the sale of medicinal and adult-use cannabis and derivative products has a single performance obligation and revenue is recognized at the point in time when control of the product transfers and the Company’s obligations have been fulfilled. This generally occurs upon delivery and acceptance by the customer. Amounts disclosed as revenue are net of allowances, discounts, and rebates. Sales taxes collected from customers are excluded from revenue.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certain locations, we offer a loyalty program to dispensary customers. A portion of the revenue generated in a sale is allocated to the loyalty points earned and the amount allocated to the points earned is deferred until the loyalty points are redeemed or expire. The liability related to the loyalty program we offer dispensary customers at certain locations was $1,125 and $1,394 at December 31, 2025 and 2024, respectively, and is included in “Other current liabilities”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Payments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issues equity-based awards to employees and non-employee directors for services. The Company accounts for these awards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Awards are measured based on their fair value at the grant date and recognized as compensation expense over the requisite service period. Forfeitures are accounted for as they occur. The Company issues new shares to satisfy the issuance of equity-based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EPS is computed by dividing net income or loss by the weighted-average number of common shares outstanding during the period. Diluted EPS reflects potential dilution and is computed by dividing net income or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outstanding stock options, as applicable. At December 31, 2025, 2024, and 2023, a total of 16,706, 12,427, and 24,599 shares of common stock equivalents, respectively, were excluded from the calculation of diluted EPS because their inclusion would have been anti-dilutive.</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as applicable.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adopted by the Company. Recently effective standards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which requires enhanced income tax disclosures, including disaggregation in the rate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and disaggregation information related to income taxes paid. The amendments in this update are effective for the Company for the fiscal year ending December 31, 2025. We adopted this guidance prospectively on January 1, 2025, which resulted in enhanced income tax disclosures in our consolidated financial statements. Refer to Note 14, “Income Taxes,” for the enhanced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issued by the FASB. Pronouncements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Income Statement Expenses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xml:space="preserve"> which was further clarified through ASU 2025-01 issued in January 2025. This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This ASU is effective for annual periods beginning after December 15, 2026 and interim periods within fiscal years beginning after December 15, 2027. The provisions of this ASU are required to be applied prospectively; however, they may be applied retrospectively to any comparative periods presented in the consolidated financial statements following the effective date. Early adoption is permitted. We are currently evaluating the impact of this update on our disclosures in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Consolidation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2025-03, </w:t>
      </w:r>
      <w:r>
        <w:rPr>
          <w:rFonts w:ascii="Times New Roman" w:cs="Times New Roman" w:eastAsia="Times New Roman" w:hAnsi="Times New Roman"/>
          <w:sz w:val="18"/>
          <w:szCs w:val="18"/>
          <w:i w:val="1"/>
          <w:iCs w:val="1"/>
          <w:color w:val="auto"/>
        </w:rPr>
        <w:t>Business Combinations (Topic 805) and Consolidation (Topic 810): Determining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Acquirer in the Acquisition of a Variable Interest Entity</w:t>
      </w:r>
      <w:r>
        <w:rPr>
          <w:rFonts w:ascii="Times New Roman" w:cs="Times New Roman" w:eastAsia="Times New Roman" w:hAnsi="Times New Roman"/>
          <w:sz w:val="18"/>
          <w:szCs w:val="18"/>
          <w:color w:val="auto"/>
        </w:rPr>
        <w:t>, which revises the guidance in ASC 805 on identifying the accounting acquirer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in which the legal acquiree is a variable interest entity (“VIE”). This ASU is intended to improve comparability between business combinations that involve VIEs and those that do not and requires a reporting entity to consider the factors for identifying the accounting acquirer when a transaction is primarily effected by the exchange of equity interests. This ASU will be effective for the Company beginning January 1, 2027 and early adoption is permitted. We are currently evaluating the impact of this update on our disclosures in the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 Credit Losses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update provides all entities with a practical expedient to assume that current conditions as of the balance sheet date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change for the remaining life of the assets when estimating expected credit losses for current accounts receivable and current contract assets arising from transactions accounted for under ASC 606. This guidance is effective for annual reporting periods beginning after December 15, 2025, and interim reporting periods within those annual reporting periods, with early adoption permitted. We are currently evaluating the impact of this update on our consolidated financial statements and related disclosures.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Reporting</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interim disclosure requirements and the applicability of Topic 270. This guidance will be effective for interim periods beginning January 1, 2028, with early adoption permitted. Upon adoption, the guidance can be applied prospectively or retrospectively. We are currently assessing the impact of this update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under one operating segment, which is its only reportable segment: the production and sale of cannabis products. All of the Company’s operations are located in the United States. The Company’s chief operating decision maker (“CODM”), the Chief Executive Officer, manages the business and makes operating decisions at the consolidated level. Accordingly, our CODM uses consolidated operating profit and net income (loss) to measure segment profit or loss, allocate resources, and assess operating performance. Further, the CODM reviews and utilizes functional expenses, such as general and administrative expenses, at the consolidated level to manage the Company’s operations. Other segment items included in consolidated net income (loss) that are reflected in the Consolidated Statements of Operations are: interest expense; other expense, net; and income tax expense. Refer to Note 17, “Supplemental Information,” for additional information regarding our general and administrative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371,172</w:t>
            </w: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Third-party wholesale revenue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189,362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147,418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561,599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9440" w:firstLine="8"/>
        <w:spacing w:after="0" w:line="439" w:lineRule="auto"/>
        <w:tabs>
          <w:tab w:leader="none" w:pos="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Business Combinations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discussed below are considered business combinations under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are included in these Financial Statements from the date of the acquisition.</w:t>
      </w:r>
    </w:p>
    <w:p>
      <w:pPr>
        <w:spacing w:after="0" w:line="1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Midwest Partnership Dispensary Three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2025, a consolidated VIE of the Company (Midwest Retail Partner One, as defined in Note 8, “Variable Interest Entities”) entered into a definitive agreement to acquire an entity that owns and operates an adult-use dispensary (“Midwest Partnership Dispensary Three”), which agreement is subject to regulatory approval. The parties also entered into a management services agreement (“MSA”) pursuant to which Midwest Retail Partner One will provide certain management and advisory services for a set fee. This MSA became effective in March 2025, following regulatory approval, and will remain in place until the definitive agreement receives regulatory approval and the underlying transaction closes. Based on the provisions of this MSA, Midwest Retail Partner One obtained operational and financial influence over Midwest Partnership Dispensary Three and therefore recognized the transaction as a business combination as of the March 2025 regulatory approval date of this MSA. Refer to Note 8, “Variable Interest Entities,” for additional information regarding the Company’s VIEs.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Total cash consideration for the Midwest Partnership Dispensary Three transaction is $1,667, of which $833 was paid upon the regulatory approval of the MSA and the remainder is due at final closing, subject to certain closing adjustments. This agreement also provides for an earn-out payment, to be paid in cash, based on 3.2-times EBITDA (as defined) that is achieved during a specified twelve-month period, less the purchase price. The initial fair value estimate of $1,600 for this earn-out was determined utilizing an income approach based on a probability-weighted estimate of the future payment discounted using the Company’s estimated incremental borrowing rate and is classified within Level 3 of the fair value hierarchy. As of December 31, 2025, the estimated fair value of this earn-out was $1,250, which is included within “Accounts payable and accrued liabilities” on the Consolidated Balance Sheets as of that date and the change in fair value of $350 is included within “General and administrative expenses” on the Consolidated Statements of Operations for 2025.</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Midwest Partnership Dispensary Four</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2025, Midwest Retail Partner One entered into a definitive agreement to acquire an entity that owns and operates an adult-use dispensary (“Midwest Partnership Dispensary Four”), which agreement is subject to regulatory approval. The parties also entered into an MSA under which Midwest Retail Partner One will provide management and advisory services for a set fee. This MSA became effective in May 2025, following its regulatory approval, and will remain in place until the definitive agreement receives regulatory approval and the underlying transaction closes. Based on the provisions of this MSA, the Midwest Retail Partner One obtained operational and financial influence over Midwest Partnership Dispensary Four and therefore recognized the transaction as a business combination as of the May 2025 regulatory approval date of this MSA. Refer to Note 8, “Variable Interest Entities,” for additional information regarding the Company’s VIEs.</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Total cash consideration for the Midwest Partnership Dispensary Four transaction is $3,333, of which $1,667 was paid upon the regulatory approval of the MSA and the remainder will be due at final closing, subject to certain closing adjustments. This agreement also provides for an earn-out payment, to be paid in cash, based on 3.2-times EBITDA (as defined) that is achieved during a specified twelve-month period, less the purchase price. The initial fair value estimate of $1,900 for this earn-out was determined utilizing an income approach based on a probability-weighted estimate of the future payment discounted using the Company’s estimated incremental borrowing rate and is classified within Level 3 of the fair value hierarchy. As of December 31, 2025, the estimated fair value of this earn-out was $1,540, which is included within “Accounts payable and accrued liabilities” on the Consolidated Balance Sheets as of that date and the change in fair value of $360 is included within “General and administrative expenses” on the Consolidated Statements of Operations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Northeast Partnership Dispensary One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2025,Northeast Retail Partner Three (as defined in Note 8, “Variable Interest Entities”) entered into a definitive agreement to acquire an adult-use dispensary (the “Northeast Partnership Dispensary One”). The parties also entered into a consulting agreement under which Northeast Retail Partner Three will provide management and advisory services for a set fee. This consulting agreement became effective in June 2025 and will remain in place until regulatory approval of the definitive agreement is received and the underlying transaction thereby closes. Based on the provisions of this consulting agreement, Northeast Retail Partner Three obtained operational and financial influence over Northeast Partnership Dispensary One and therefore recognized the transaction as a business combination as of the June 2025 effective date of this consulting agreement. Refer to Note 8, “Variable Interest Entities,” for additional information regarding the Company’s VIEs. Total cash consideration for Northeast Partnership Dispensary One is $3,250, of which $813 was paid at signing and the remainder was paid at final closing, which occurred in December 2025. Closing adjustments were not material.</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Northeast Partnership Dispensaries Two and Three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September 2025, Northeast Retail Partner Three (as defined in Note 8, “Variable Interest Entities”) acquired an entity that owns and operates two adult-use dispensaries (“Northeast Partnership Dispensaries Two and Three”), which transaction was completed pursuant to a definitive agreement that was signed in February 2025 and was subject to certain closing conditions, including regulatory approval of the underlying transaction which was received prior to closing. The purchase price consists of $7,850 of cash consideration, subject to certain working capital and other customary adjustments, and of which $250 was paid as a deposit at signing. Total cash consideration included the settlement of $4,779 related to an outstanding note with a principal balance of $4,100 and associated interest. As of the closing date, the Company paid $1,541, which included an initial working capital estimate of $1,040. In December 2025, the parties agreed to a revised working capital estimate, including repayment of $1,598 for certain pre-acquisition liabilities, that reduced this estimate by $2,609, with the resulting net estimate of $289 included within “Other current assets” on the Consolidated Balance Sheets as of December 31, 2025. The final working capital adjustment and any resulting payment is due on the one-year anniversary of closing. This transaction also provides for an earn-out payment, payable in cash, in an amount equal to the lesser of $2,000 or three times the Annual EBITDA (as defined) during the one-year period following closing. The initial fair value estimate of $1,800 for this earn-out was determined utilizing an income approach based on a probability-weighted estimate of the future payment discounted using the Company’s estimated incremental borrowing rate and is classified within Level 3 of the fair value hierarchy. As of December 31, 2025, the estimated fair value of this earn-out was $1,823, which is included within “Accounts payable and accrued liabilities” on the Consolidated Balance Sheets as of that date and the change in fair value is included within “General and administrative expenses” on the Consolidated Statements of Operations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Preliminary Purchase Price Allocations</w:t>
      </w:r>
    </w:p>
    <w:p>
      <w:pPr>
        <w:spacing w:after="0" w:line="17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purchase price allocations for the transactions described above, which remains preliminary as management refines certain estimates during the respective measurement periods: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Midwest Partnership</w:t>
            </w:r>
          </w:p>
        </w:tc>
        <w:tc>
          <w:tcPr>
            <w:tcW w:w="140" w:type="dxa"/>
            <w:vAlign w:val="bottom"/>
          </w:tcPr>
          <w:p>
            <w:pPr>
              <w:spacing w:after="0"/>
              <w:rPr>
                <w:sz w:val="17"/>
                <w:szCs w:val="17"/>
                <w:color w:val="auto"/>
              </w:rPr>
            </w:pPr>
          </w:p>
        </w:tc>
        <w:tc>
          <w:tcPr>
            <w:tcW w:w="1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Midwest Partnership</w:t>
            </w:r>
          </w:p>
        </w:tc>
        <w:tc>
          <w:tcPr>
            <w:tcW w:w="100" w:type="dxa"/>
            <w:vAlign w:val="bottom"/>
          </w:tcPr>
          <w:p>
            <w:pPr>
              <w:spacing w:after="0"/>
              <w:rPr>
                <w:sz w:val="17"/>
                <w:szCs w:val="17"/>
                <w:color w:val="auto"/>
              </w:rPr>
            </w:pPr>
          </w:p>
        </w:tc>
        <w:tc>
          <w:tcPr>
            <w:tcW w:w="1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Northeast Partnership</w:t>
            </w:r>
          </w:p>
        </w:tc>
        <w:tc>
          <w:tcPr>
            <w:tcW w:w="120" w:type="dxa"/>
            <w:vAlign w:val="bottom"/>
          </w:tcPr>
          <w:p>
            <w:pPr>
              <w:spacing w:after="0"/>
              <w:rPr>
                <w:sz w:val="17"/>
                <w:szCs w:val="17"/>
                <w:color w:val="auto"/>
              </w:rPr>
            </w:pP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Northeast Partnership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Dispensaries Two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18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Dispensary Three</w:t>
            </w:r>
          </w:p>
        </w:tc>
        <w:tc>
          <w:tcPr>
            <w:tcW w:w="140" w:type="dxa"/>
            <w:vAlign w:val="bottom"/>
          </w:tcPr>
          <w:p>
            <w:pPr>
              <w:spacing w:after="0"/>
              <w:rPr>
                <w:sz w:val="16"/>
                <w:szCs w:val="16"/>
                <w:color w:val="auto"/>
              </w:rPr>
            </w:pPr>
          </w:p>
        </w:tc>
        <w:tc>
          <w:tcPr>
            <w:tcW w:w="19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Dispensary Four</w:t>
            </w:r>
          </w:p>
        </w:tc>
        <w:tc>
          <w:tcPr>
            <w:tcW w:w="100" w:type="dxa"/>
            <w:vAlign w:val="bottom"/>
          </w:tcPr>
          <w:p>
            <w:pPr>
              <w:spacing w:after="0"/>
              <w:rPr>
                <w:sz w:val="16"/>
                <w:szCs w:val="16"/>
                <w:color w:val="auto"/>
              </w:rPr>
            </w:pPr>
          </w:p>
        </w:tc>
        <w:tc>
          <w:tcPr>
            <w:tcW w:w="194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Dispensary One</w:t>
            </w:r>
          </w:p>
        </w:tc>
        <w:tc>
          <w:tcPr>
            <w:tcW w:w="120" w:type="dxa"/>
            <w:vAlign w:val="bottom"/>
          </w:tcPr>
          <w:p>
            <w:pPr>
              <w:spacing w:after="0"/>
              <w:rPr>
                <w:sz w:val="16"/>
                <w:szCs w:val="16"/>
                <w:color w:val="auto"/>
              </w:rPr>
            </w:pPr>
          </w:p>
        </w:tc>
        <w:tc>
          <w:tcPr>
            <w:tcW w:w="18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5"/>
              </w:rPr>
              <w:t>Three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Accounts payable and accrued</w:t>
            </w: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1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340" w:hanging="332"/>
        <w:spacing w:after="0" w:line="231"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amounts related to Midwest Partnership Dispensary Three, Midwest Partnership Dispensary Four, and Northeast Partnership Dispensary One consist of leasehold improvements. The amount for Northeast Partnership Dispensaries Two and Three consists of $3,682 of leasehold improvements and $52 of furniture, fixtures, and equipment.</w:t>
      </w:r>
    </w:p>
    <w:p>
      <w:pPr>
        <w:spacing w:after="0" w:line="101" w:lineRule="exact"/>
        <w:rPr>
          <w:rFonts w:ascii="Times New Roman" w:cs="Times New Roman" w:eastAsia="Times New Roman" w:hAnsi="Times New Roman"/>
          <w:sz w:val="21"/>
          <w:szCs w:val="21"/>
          <w:color w:val="auto"/>
          <w:vertAlign w:val="superscript"/>
        </w:rPr>
      </w:pPr>
    </w:p>
    <w:p>
      <w:pPr>
        <w:jc w:val="both"/>
        <w:ind w:left="340" w:right="20" w:hanging="332"/>
        <w:spacing w:after="0" w:line="237"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the acquired licenses is 10 years. During 2025, we refined certain estimates related to the fair value of the Midwest Partnership Dispensary Three and Northeast Partnership Dispensary One acquired licenses, resulting measurement period purchase accounting adjustments that reduced the value by $710 and $120, respectively, with a related impact to goodwill.</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expected to be obtained from long-term business growth and buyer-specific synergies. Goodwill is largely not deductible for tax purposes under the limitations under Internal Revenue Code (“IRC”) Section 280E; see Note 14, “Income Taxes,” for additional information.</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line="239"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Of the total cash consideration, $833 was paid in March 2025 for the Midwest Partnership Dispensary Three transaction and $1,667 was paid in May 2025 for the Midwest Partnership Dispensary Four transaction. The remainder of each respective total consideration amount is included as a sellers’ note as a component of debt; refer to Note 11, “Debt” for additional information. An initial payment of $813 was paid for the Northeast Partnership Dispensary One transaction upon signing in May 2025, and the remainder was paid upon final closing in December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Midwest Retail Partner One has also agreed to assume the lease for the associated locations and recognized a total finance lease liability and ROU asset of $767 related to Midwest Partnership Dispensary Three and $653 for Midwest Partnership Dispensary Four as of the respective effective dates. Northeast Retail Partner Three has agreed to assume certain leases associated with its transactions and recognized a finance lease liability and ROU asset of $679 associated with the Northeast Partnership Dispensary One transaction and finance lease liabilities and ROU assets totaling $5,699 associated with the Northeast Partnership Dispensaries Two and Three transaction. Refer to Note 10, “Leases,” for additional information regarding the Company’s leases. Direct transaction costs for these transactions were not material.</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and Pro Forma Information</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revenue and net income (loss) related to our business combinations recognized during 2025. Pro forma financial information is not presented for these acquisitions, as such results are immaterial, individually and in aggregate, to both the current and prior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Midwest Partnership</w:t>
            </w:r>
          </w:p>
        </w:tc>
        <w:tc>
          <w:tcPr>
            <w:tcW w:w="140" w:type="dxa"/>
            <w:vAlign w:val="bottom"/>
          </w:tcPr>
          <w:p>
            <w:pPr>
              <w:spacing w:after="0"/>
              <w:rPr>
                <w:sz w:val="14"/>
                <w:szCs w:val="14"/>
                <w:color w:val="auto"/>
              </w:rPr>
            </w:pPr>
          </w:p>
        </w:tc>
        <w:tc>
          <w:tcPr>
            <w:tcW w:w="1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Midwest Partnership</w:t>
            </w:r>
          </w:p>
        </w:tc>
        <w:tc>
          <w:tcPr>
            <w:tcW w:w="2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Northeast Partnership</w:t>
            </w:r>
          </w:p>
        </w:tc>
        <w:tc>
          <w:tcPr>
            <w:tcW w:w="120" w:type="dxa"/>
            <w:vAlign w:val="bottom"/>
          </w:tcPr>
          <w:p>
            <w:pPr>
              <w:spacing w:after="0"/>
              <w:rPr>
                <w:sz w:val="14"/>
                <w:szCs w:val="14"/>
                <w:color w:val="auto"/>
              </w:rPr>
            </w:pPr>
          </w:p>
        </w:tc>
        <w:tc>
          <w:tcPr>
            <w:tcW w:w="182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9"/>
              </w:rPr>
              <w:t>Northeast Partnership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Dispensaries Two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88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Dispensary Three</w:t>
            </w:r>
          </w:p>
        </w:tc>
        <w:tc>
          <w:tcPr>
            <w:tcW w:w="140" w:type="dxa"/>
            <w:vAlign w:val="bottom"/>
          </w:tcPr>
          <w:p>
            <w:pPr>
              <w:spacing w:after="0"/>
              <w:rPr>
                <w:sz w:val="16"/>
                <w:szCs w:val="16"/>
                <w:color w:val="auto"/>
              </w:rPr>
            </w:pPr>
          </w:p>
        </w:tc>
        <w:tc>
          <w:tcPr>
            <w:tcW w:w="18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Dispensary Four</w:t>
            </w:r>
          </w:p>
        </w:tc>
        <w:tc>
          <w:tcPr>
            <w:tcW w:w="200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Dispensary One</w:t>
            </w:r>
          </w:p>
        </w:tc>
        <w:tc>
          <w:tcPr>
            <w:tcW w:w="120" w:type="dxa"/>
            <w:vAlign w:val="bottom"/>
          </w:tcPr>
          <w:p>
            <w:pPr>
              <w:spacing w:after="0"/>
              <w:rPr>
                <w:sz w:val="16"/>
                <w:szCs w:val="16"/>
                <w:color w:val="auto"/>
              </w:rPr>
            </w:pPr>
          </w:p>
        </w:tc>
        <w:tc>
          <w:tcPr>
            <w:tcW w:w="182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in April 2024, Midwest Retail Partner One, as defined in Note 8, “Variable Interest Entities,” acquired two dispensaries in the greater Chicago, Illinois area (the “2024 Midwest Partner Dispensaries”). The parties entered into interim management services agreements (“MSAs”) pursuant to which Midwest Retail Partner One will advise on certain business, operational, and financial matters for a monthly fee (the “2024 Midwest MSAs”), that is in place until the parties finalize the purchase of the underlying dispensaries, which is pending regulatory approval. The total purchase price of approximately $10,000 of cash consideration is subject to certain closing adjustments. An initial deposit of $1,500 was remitted during the first quarter of 2024. The remainder of $8,500 was remitted to escrow during the second quarter of 2024. In November 2025, the parties agreed to reduce the purchase price by $1,250 and received such funds were received from escrow, which was outside of the related purchase accounting measurement period and is included as a gain within “General and administrative expenses” for 2025. Of the remaining balance of the revised purchase price, $5,750 was released to the sellers at that time, and the balance of the revised purchase price remained in escrow as of December 31, 2025, to be released upon final closing, subject to certain closing adjustments. The asset purchase agreements in respect of the 2024 Midwest Partner Dispensaries are subject to regulatory review and approval. Based on the provisions of the 2024 Midwest MSAs, the third party obtained operational and financial influence over the dispensaries and therefore recognized the transaction as a business combination as of the April 2024 regulatory approval date of the 2024 Midwest MSAs. Refer to Note 8, “Variable Interest Entities,” for additional information regarding the Company’s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jc w:val="center"/>
              <w:ind w:left="996"/>
              <w:spacing w:after="0"/>
              <w:rPr>
                <w:sz w:val="20"/>
                <w:szCs w:val="20"/>
                <w:color w:val="auto"/>
              </w:rPr>
            </w:pPr>
            <w:r>
              <w:rPr>
                <w:rFonts w:ascii="Times New Roman" w:cs="Times New Roman" w:eastAsia="Times New Roman" w:hAnsi="Times New Roman"/>
                <w:sz w:val="18"/>
                <w:szCs w:val="18"/>
                <w:b w:val="1"/>
                <w:bCs w:val="1"/>
                <w:color w:val="auto"/>
                <w:w w:val="99"/>
              </w:rPr>
              <w:t>Ascend Wellness Holdings, Inc.</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40" w:type="dxa"/>
            <w:vAlign w:val="bottom"/>
          </w:tcPr>
          <w:p>
            <w:pPr>
              <w:jc w:val="center"/>
              <w:ind w:left="1016"/>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40" w:type="dxa"/>
            <w:vAlign w:val="bottom"/>
          </w:tcPr>
          <w:p>
            <w:pPr>
              <w:jc w:val="center"/>
              <w:ind w:left="996"/>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4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858"/>
        </w:trPr>
        <w:tc>
          <w:tcPr>
            <w:tcW w:w="20" w:type="dxa"/>
            <w:vAlign w:val="bottom"/>
          </w:tcPr>
          <w:p>
            <w:pPr>
              <w:spacing w:after="0"/>
              <w:rPr>
                <w:sz w:val="24"/>
                <w:szCs w:val="24"/>
                <w:color w:val="auto"/>
              </w:rPr>
            </w:pPr>
          </w:p>
        </w:tc>
        <w:tc>
          <w:tcPr>
            <w:tcW w:w="9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as finalized during the measurement period:</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Licenses</w:t>
            </w:r>
            <w:r>
              <w:rPr>
                <w:rFonts w:ascii="Times New Roman" w:cs="Times New Roman" w:eastAsia="Times New Roman" w:hAnsi="Times New Roman"/>
                <w:sz w:val="23"/>
                <w:szCs w:val="23"/>
                <w:color w:val="auto"/>
                <w:vertAlign w:val="superscript"/>
              </w:rPr>
              <w:t>(2)</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leasehold improvements of $1,398 and furniture, fixtures, and equipment of $127.</w:t>
      </w:r>
    </w:p>
    <w:p>
      <w:pPr>
        <w:spacing w:after="0" w:line="86"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 During 2025, certain estimates related to the fair value of the acquired licenses were refined, resulting in a measurement period purchase accounting adjustment that reduced the value by $940, with a related impact to goodwill.</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expected to be obtained from long-term business growth and buyer-specific synergies. Goodwill is largely not deductible for tax purposes under the limitations under IRC Section 280E; see Note 14, “Income Taxes,” for additional information.</w:t>
      </w:r>
    </w:p>
    <w:p>
      <w:pPr>
        <w:spacing w:after="0" w:line="1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entity has also agreed to assume the lease for the associated locations and recognized a total lease liability and ROU asset of $3,065 as of the effective date; refer to Note 10, “Leases,” for additional information regarding the Company’s leases. Direct transaction costs were not material. Our consolidated results of operations for 2025 and 2024 include $13,006 and $4,000, respectively, of revenue and $1,123 of net income and $777 of net loss, respectively, associated with the 2024 Midwest Partner Dispensaries from the acquisition date. Pro forma financial information is not presented for this acquisition, as such results are immaterial to both the current and prior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which was subject to customary closing conditions and working capital adjustments, and 5,185 shares of Class A common stock with an estimated fair value of $4,770 at issuance. Acquisition related costs incurred during 2023 were not material. In April 2024 the Company finalized the working capital settlement and reduced consideration and goodwill by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2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Ascend Wellness Holdings, Inc.</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820" w:type="dxa"/>
            <w:vAlign w:val="bottom"/>
            <w:gridSpan w:val="2"/>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820" w:type="dxa"/>
            <w:vAlign w:val="bottom"/>
            <w:gridSpan w:val="2"/>
          </w:tcPr>
          <w:p>
            <w:pPr>
              <w:jc w:val="center"/>
              <w:ind w:right="1610"/>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5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7"/>
        </w:trPr>
        <w:tc>
          <w:tcPr>
            <w:tcW w:w="1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Purchase Price Allocation</w:t>
            </w:r>
          </w:p>
        </w:tc>
        <w:tc>
          <w:tcPr>
            <w:tcW w:w="16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00" w:type="dxa"/>
            <w:vAlign w:val="bottom"/>
            <w:gridSpan w:val="2"/>
          </w:tcPr>
          <w:p>
            <w:pPr>
              <w:spacing w:after="0"/>
              <w:rPr>
                <w:sz w:val="24"/>
                <w:szCs w:val="24"/>
                <w:color w:val="auto"/>
              </w:rPr>
            </w:pPr>
          </w:p>
        </w:tc>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Devi Maryland</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3"/>
            <w:vMerge w:val="continue"/>
          </w:tcPr>
          <w:p>
            <w:pPr>
              <w:spacing w:after="0"/>
              <w:rPr>
                <w:sz w:val="18"/>
                <w:szCs w:val="18"/>
                <w:color w:val="auto"/>
              </w:rPr>
            </w:pPr>
          </w:p>
        </w:tc>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5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Prepaids and other current assets</w:t>
            </w:r>
            <w:r>
              <w:rPr>
                <w:rFonts w:ascii="Times New Roman" w:cs="Times New Roman" w:eastAsia="Times New Roman" w:hAnsi="Times New Roman"/>
                <w:sz w:val="23"/>
                <w:szCs w:val="23"/>
                <w:color w:val="auto"/>
                <w:vertAlign w:val="superscript"/>
              </w:rPr>
              <w:t>(4)</w:t>
            </w:r>
          </w:p>
        </w:tc>
        <w:tc>
          <w:tcPr>
            <w:tcW w:w="5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Licenses</w:t>
            </w:r>
            <w:r>
              <w:rPr>
                <w:rFonts w:ascii="Times New Roman" w:cs="Times New Roman" w:eastAsia="Times New Roman" w:hAnsi="Times New Roman"/>
                <w:sz w:val="23"/>
                <w:szCs w:val="23"/>
                <w:color w:val="auto"/>
                <w:vertAlign w:val="superscript"/>
              </w:rPr>
              <w:t>(2)</w:t>
            </w:r>
          </w:p>
        </w:tc>
        <w:tc>
          <w:tcPr>
            <w:tcW w:w="5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(3)(5)</w:t>
            </w:r>
          </w:p>
        </w:tc>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Accounts payable and accrued liabilities</w:t>
            </w:r>
            <w:r>
              <w:rPr>
                <w:rFonts w:ascii="Times New Roman" w:cs="Times New Roman" w:eastAsia="Times New Roman" w:hAnsi="Times New Roman"/>
                <w:sz w:val="23"/>
                <w:szCs w:val="23"/>
                <w:color w:val="auto"/>
                <w:vertAlign w:val="superscript"/>
              </w:rPr>
              <w:t>(4)</w:t>
            </w:r>
          </w:p>
        </w:tc>
        <w:tc>
          <w:tcPr>
            <w:tcW w:w="5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5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(5)</w:t>
            </w:r>
          </w:p>
        </w:tc>
        <w:tc>
          <w:tcPr>
            <w:tcW w:w="5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540" w:type="dxa"/>
            <w:vAlign w:val="bottom"/>
            <w:tcBorders>
              <w:bottom w:val="single" w:sz="8" w:color="CCEEFF"/>
            </w:tcBorders>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Fair value of shares issued</w:t>
            </w:r>
            <w:r>
              <w:rPr>
                <w:rFonts w:ascii="Times New Roman" w:cs="Times New Roman" w:eastAsia="Times New Roman" w:hAnsi="Times New Roman"/>
                <w:sz w:val="23"/>
                <w:szCs w:val="23"/>
                <w:color w:val="auto"/>
                <w:vertAlign w:val="superscript"/>
              </w:rPr>
              <w:t>(6)</w:t>
            </w:r>
          </w:p>
        </w:tc>
        <w:tc>
          <w:tcPr>
            <w:tcW w:w="5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5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furniture, fixtures, and equipment of $953; land of $364; and buildings of $3,276.</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25" w:lineRule="auto"/>
        <w:tabs>
          <w:tab w:leader="none" w:pos="328"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 During 2023, we refined certain estimates related to the fair value of the acquired licenses and recorded a measurement period purchase accounting adjustment that increased the initial estimate by $510, with a related impact to goodwill, which is reflected in the table above.</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we expect to obtain from long-term business growth and buyer-specific synergies. The Company is evaluating whether the goodwill is deductible for tax purposes under the limitations imposed under IRC Section 280E; see Note 14, “Income Taxes,” for additional information.</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line="231" w:lineRule="auto"/>
        <w:tabs>
          <w:tab w:leader="none" w:pos="328"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2023, we refined certain estimates related to the total balance of accounts payable assumed in the acquisition and recorded measurement period purchase accounting adjustments that reduced the initial estimate of prepaids and other current assets by $17 and reduced accounts payable and accrued liabilities by $257, each with a related impact to goodwill, which is reflected in the table above.</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a $200 reduction from the working capital settlement that was finalized in April 2024.</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line="224" w:lineRule="auto"/>
        <w:tabs>
          <w:tab w:leader="none" w:pos="3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seller received 5,185 shares of Class A common stock with a fair value of $4,770.</w:t>
      </w:r>
    </w:p>
    <w:p>
      <w:pPr>
        <w:spacing w:after="0" w:line="1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consolidated results of operations for 2025, 2024, and 2023 include $34,659, $38,444, and $20,861, respectively, of revenue and $3,522, $3,407, and $807, respectively, of net income associated with Devi Maryland from the acquisition date. Pro forma information is not presented, as such results are immaterial.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License intangible assets acquired through asset acquisitions are amortized in accordance with the Company’s policy, generally as of the commencement of operations for the respective location.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Asset Acquisitions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2024, Midwest Retail Partner One entered into a definitive agreement to acquire the membership interests of an entity that anticipates receiving two adult-use licenses, which agreement is subject to regulatory approval. In conjunction with this definitive agreement, the parties entered into certain management services agreements under which Midwest Retail Partner One will provide certain management and advisory services for a set fee. These management services agreements were subject to regulatory review and approval, which was received in February 2025. Based on the provisions of the agreements, Midwest Retail Partner One obtained operational and financial influence over the underlying entity and therefore recognized the transaction as an asset acquisition as of the February 2025 regulatory approval date of these MSAs. Total cash consideration for this transaction may be up to $4,000, subject to certain closing adjustments, and was allocated to the licenses acquired as of the effective date. Of the total consideration, $1,000 was paid at signing in December 2024 and is included within “Other non-current assets” on the Consolidated Balance Sheet as of December 31, 2024. A total of up to $1,500 is expected to be paid upon opening of the associated dispensary locations and a total of up to $1,500 is expected be paid upon final closing of the associated transaction. The total of these payments is included as a sellers’ note; refer to Note 11, “Debt.” Additionally, the Company recorded an acquisition-related deferred tax liability of $1,755, which was allocated to the license as additional cost basis as of the effective date. One of the dispensary locations opened in March 2026. Refer to Note 8, “Variable Interest Entities,” for additional information regarding the Company’s VIEs, including Midwest Retail Partner One.</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2025, Midwest Retail Partner One entered into a definitive agreement to acquire a conditional adult-use license, which agreement is subject to regulatory approval. Total cash consideration for this transaction is $1,900, to be paid at final closing and subject to certain closing adjustments. In October 2025, the parties amended the definitive agreement to, among other provisions, reduce the total cash consideration by $150 and advance $450 at that time. In conjunction with this definitive agreement, the parties entered into certain MSAs under which Midwest Retail Partner One will provide certain management and advisory services for a set fee. The parties also entered into a working capital loan and security agreement, under which Midwest Retail Partner One may loan up to $3,650 for the build-out of the associated dispensary, which loan has a five year maturity, if not otherwise settled, bears interest at a rate of 12.5% per annum, and provides for a default interest penalty of an additional 6.0% and a repayment fee of 10.0%. Based on the provisions of the MSAs and working capital loan, Midwest Retail Partner One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The payment due at closing is included as a sellers’ note; refer to Note 11, “Debt.” The associated dispensary opened in May 2025 and the Company anticipates that closing of the transaction may occur in the first half of 2026. Refer to Note 8, “Variable Interest Entities,” for additional information regarding the Company’s VIEs, including the Midwest Retail Partner One.</w:t>
      </w:r>
    </w:p>
    <w:p>
      <w:pPr>
        <w:spacing w:after="0" w:line="13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2025, the Company acquired a conditional adult-use license for $2,000 of cash consideration. this transaction was accounted for as an asset acquisition as of the effective date and the total cash consideration was allocated as the cost of the license acquired. Of the total cash consideration, $1,000 was paid to the seller as of the effective date and the remainder was remitted to escrow, to be released to the seller upon regulatory approval of the underlying license transfer, which remains pending. The Company also assumed the lease for the associated dispensary location which had a lease liability and ROU asset of $1,710 as of the effective date and is classified as a finance lease; refer to Note 10, “Leases,” for additional information regarding the Company’s leases. Additionally, the Company recorded an acquisition-related deferred tax liability of $878, which was allocated to the license as additional cost basis as of the effective date. Direct transaction costs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Purchase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Purchase Agreement”) to purchase a cultivation license and a manufacturer license from a third party in Massachusetts for a cash purchase price of $2,750, of which $1,500 was paid at signing and $1,250 was paid on October 1, 2024. The transfer of each license was subject to regulatory review and approval, which occurred in April 2025, and upon which the final closing of the transaction occurred. The licenses were not associated with active operations at signing, but certain commenced during 2024. In conjunction with the Massachusetts Purchase Agreement, the parties also entered into a bridge loan which provided for the financing of certain covered expenses, at the sole discretion of the Company, and which balance outstanding thereunder was forgiven at final closing. The parties also entered into an interim consulting services agreement that was effective as of the signing date through the final closing date. The Company accounted for this transaction as an asset acquisition as of the signing date based on the provisions of the underlying agreements and allocated the cash consideration as the cost of the license acquired. The Company also assumed the lease for the associated location and reimbursed the seller for the security deposit at final closing. The Company recognized a lease liability and ROU asset of $761 as of the signing date; refer to Note 10, “Leases,” for additional information regarding the Company’s leases. Direct transaction costs were not material.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Detroit License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2024, the Company acquired 49% of the member interests of an entity (the “Detroit License Holder”) that received conditional approval for an adult-use license in Detroit, Michigan (the “Detroit License”). The Detroit License was not associated with active operations as of the closing date and the Detroit License Holder had no other active operations as of that date. The Company transferred the Detroit License to its dispensary in Detroit, Michigan, which re-opened in February 2025. The Company paid $850 of cash consideration at closing and the sellers may receive up to an additional $2,250 based upon the achievement of certain levels of sales during a specified twelve month period following the commencement of adult-use sales at the dispensary. The underlying agreement provides the Company with an option to acquire the remaining ownership interests in the Detroit License Holder, after such is permissible by applicable regulations, for no additional consideration. The parties also entered into a management services agreement, pursuant to which the Company is providing management and advisory services for a set monthly fee, which is expected to expire upon the Company’s exercise of the option.</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that the Detroit License Holder is a VIE and the Company became the primary beneficiary as of the closing date; therefore, the Detroit License Holder is consolidated as a VIE. Management applied the acquisition method discussed above and allocated the total estimated fair value of the transaction consideration of $1,140 as the estimated fair value of the license. This total consisted of the fair value of the cash consideration of $850 plus the initial estimated fair value of the contingent consideration of $290, which was determined utilizing an income approach based on a probability-weighted estimate of the future payment discounted using the Company’s estimated incremental borrowing rate and is classified within Level 3 of the fair value hierarchy. The estimated fair value of this contingent consideration was $340 and $300 as of December 31, 2025 and 2024, respectively, is included within “Other non-current liabilities” on the Consolidated Balance Sheets, and the change in estimated fair value is included within “General and administrative expenses” on the Statements of Operations for 2025. During 2025, the Company recorded an acquisition-related deferred tax liability of $500, which was allocated to the license as additional cost basis. The Company determined the fair value of any noncontrolling interest is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Patient Access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provided the Company the option to acquire 100% of the equity of Ohio Patient Access LLC (“OPA”), the holder of a license that grants it the right to operate three medical dispensaries in Ohio. The Ohio Agreement was subject to regulatory review and approval and, once received, the Company could exercise the option, the exercise of which was solely within the Company’s control. Under the Ohio Agreement, the Company would also acquire the real property of the three dispensary locations.</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conjunction with the Ohio Agreement, the parties entered into a support services agreement under which the Company would provide management and advisory services to OPA for a set monthly fee until such time as the underlying transaction closes. The parties also entered into a working capital loan agreement under which the Company may, at its full discretion, loan OPA up to $10,000 for general working capital needs. OPA had not yet commenced operations as of the signing date, but subsequently opened two dispensaries in December 2023 and a third in January 2024. The Company determined OPA was a VIE and the Company became the primary beneficiary as of the signing date; therefore, OPA was consolidated as a VIE as of the initial signing date. To account for the initial consolidation of OPA, management applied the acquisition method discussed above. Refer to Note 8, “Variable Interest Entities,” for additional information regarding the Company’s VIEs.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per the Ohio Agreement consisted of total cash consideration of $22,300. The Ohio Agreement also included an earn-out provision of $7,300 that was dependent upon the commencement of adult-use cannabis sales in Ohio and which the sellers could elect to receive as either cash or shares of the Company’s Class A common stock, or a combination thereof. The sellers elected to receive the payment in cash and such payment was made in July 2024.</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estimated fair value of the transaction consideration was determined to be $24,132, which consisted of the fair value of the cash consideration of $19,290 plus the initial estimated fair value of the contingent consideration of $4,842 that was determined utilizing an income approach based on a probability-weighted estimate of the future payment discounted using the Company’s estimated incremental borrowing rate and was classified within Level 3 of the fair value hierarchy. Of the total cash consideration, $11,300 was funded at signing pursuant to note agreements and a total of $11,000 was due at final closing (the “OPA Sellers’ Note”); refer to Note 11, “Debt,” for additional information.</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license intangible asset acquired was determined to have an estimated fair value of $21,684 and the three properties had an estimated fair value of $2,448, which was determined using a market approach based on the total transaction consideration. The license is being amortized in accordance with the Company’s policy following the commencement of operations. During the third quarter of 2023, the Company recorded an acquisition-related deferred tax liability of $9,516, which was allocated to the estimated fair value of the license. The Company determined the fair value of any non-controlling interest at the time of the acquisition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initially provided by the Ohio Agreement, the Company had the right to exercise the option to acquire OPA until the fifth anniversary of the agreement date, but this was subsequently amended in June 2024 so that such option would expire on March 22, 2026. The June 2024 amendments to the Ohio Agreement also incorporated certain provisions regarding evolving regulations in Ohio, including that the Company will receive two additional adult-use licenses that are expected to be awarded to OPA. In July 2025, the Company entered into certain amendments related to the Ohio Agreement that, among other provisions, permitted the Company to acquire the real property of the dispensary locations in advance of the license ownership transfer and paid the sellers $2,000 of the OPA Sellers’ Note at that time. Effective on August 5, 2025, the Company acquired the entity that holds the real property. In September 2025, the Company notified the sellers that it was exercising the option to acquire OPA. The related transaction closed in October 2025 and $7,000 of the OPA Sellers’ Note was paid at that time. Subsequent to closing, OPA is no longer considered a VIE and is consolidated as a wholly-owned subsidiary. The remaining $2,000 of total transaction consideration will be remitted upon the final transfer of each of the two additional licenses, which is expected to occur after each of the related dispensary locations open.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Licenses</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2022, the Company entered into definitive agreements to acquire two additional licenses in Illinois. Neither of these licenses were associated with active operations at signing and the transfer of each license was subject to regulatory review and approval.</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One transaction was entered on August 11, 2022 for total cash consideration of $5,500, which was allocated as the cost of the license acquired, plus an acquisition-related deferred tax liability of $2,414. Of the total cash consideration, $3,000 was paid at signing and $2,500 was paid at final closing in April 2024. Operations at the associated location commenced during the second quarter of 2023 and direct transaction expenses were immaterial.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second transaction was entered on August 12, 2022 for total cash consideration of $5,600, which was allocated as the cost of the license acquired, plus an acquisition-related deferred tax liability of $2,458. The cash consideration was paid at final closing in July 2024. Operations at the associated location commenced during the fourth quarter of 2023 and direct transaction expenses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inventory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39,256</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84,707</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89,552</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Total compensation expense capitalized to inventory was $72,128, $76,391, and $72,090 during 2025, 2024, and 2023, respectively. At December 31, 2025 and 2024, $15,706 and $14,152, respectively, of compensation expense remained capitalized as part of inventory. The Company recognized, as a component of cost of goods sold, total write-downs related to net realizable value adjustments, expired products, and obsolete packaging totaling $15,862, $2,859, and $16,350 during 2025, 2024, and 2023, respectively. These amounts are included within “Other”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9240" w:firstLine="8"/>
        <w:spacing w:after="0" w:line="466" w:lineRule="auto"/>
        <w:tabs>
          <w:tab w:leader="none" w:pos="18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NOTES RECEIVABLE Massachusetts Note</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2022 the Company issued a secured promissory note to a retail dispensary license holder in Massachusetts providing up to $3,500 of funding, which note was amended in December 2023 (the “Massachusetts Note”). The Massachusetts Note originally accrued interest at a fixed annual rate of 11.5% as part of the note balance and principal was due monthly following the opening of the borrower’s retail dispensary. The Massachusetts Note was amended in December 2023 to revise the funding and repayment terms and to increase the interest rate to 12.5% per annum, to be paid monthly beginning in January 2024, and the total principal balance was revised to a maximum of $3,500. In April 2024, the Massachusetts Note was further amended to increase the principal to $4,100 and the additional payment was funded at that time. As amended, principal is to be repaid monthly commencing in December 2024, based on a period of twenty-four months, with the remainder due at the December 1, 2025 revised maturity date. A total of $4,100 was outstanding under the Massachusetts Note as of December 31, 2024 and is included in “Notes receivable” on the Consolidated Balance Sheet, and interest receivable totaling $266, respectively, was included within “Other current assets.”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the borrower entered into a purchase and sale agreement to be acquired by a third-party entity, which transaction closed in September 2025. The principal due under the Massachusetts Note and interest receivable totaling $679 were settled as part of that transaction and the obligations under the Massachusetts Note were satisfied. Prior to this transaction, the borrower was partially owned by an entity that is managed, in part, by one of the founders of the Company. Additionally, the Company transacts with the retail dispensary in the ordinary course of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Maryland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had an initial maturity date of August 1, 2026, required monthly repayments equal to 10.0% of the outstanding balance (including PIK interest), and could be prepaid subject to a customary make-whole payment or prepayment penalty, as applicable. Mandatory prepayments were required from the proceeds of certain events. The Maryland Loan Agreement provided for a base interest rate of 12.0% plus LIBOR (LIBOR floor of 1.0%) and a paid-in-kind (“PIK”) interest rate of 4.5%, as well as a default penalty of 5.0%. Following the replacement of LIBOR, effective July 1, 2023, the LIBOR component of the interest rate transitioned to the secured overnight financing rate (“SOFR”) plus an alternative reference rate committee (“ARRC”) standard adjustment.</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recorded the Maryland Loan Receivable at an amortized cost basis of $12,622. A total of $595 of transaction-related expenses were capitalized as part of the amortized cost basis and were being amortized to interest income over the term. The Company identified certain events of default and covenant violations, as contained within the Maryland Loan Agreement, including non-payment, and provided an acceleration notice during the second quarter of 2023 that declared all amounts due and payable. Accordingly, during 2023, the Company established a reserve of $1,804 for potential collectability that was included within “General and administrative expenses” on the Consolidated Statements of Operations and within “Other” on the Consolidated Statements of Cash Flows. During 2023, the Company recognized a total $2,859 of interest income, including certain default fees and premiums and PIK interest, which total remained outstanding as of December 31, 2023 and is recorded within “Other,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2024 the borrower refinanced the borrowings underlying the Maryland Loan Agreement with a third-party lender (the “Maryland Refinancing”). In conjunction with the Maryland Refinancing, the borrower’s obligations to the Company under the Maryland Loan Agreement were settled. As part of this settlement, the Company received a cash payment of $8,100. Additionally, the parties entered into a supply agreement that provides for the Company to receive $6,000 of inventory products from the borrower, based on market prices, over the course of three years, with a maximum of $500 per quarter. The Company recorded this receivable net of an initial discount of $984 that is included within “General and administrative expenses” on the Consolidated Statements of Operations for 2024 and within “Other” on the Consolidated Statements of Cash Flows. This discount was calculated utilizing the Company’s estimated incremental borrowing rate as of the agreement date and will be accreted to interest income over the agreement term. The total settlement value, excluding the discount, approximated the obligations outstanding under the Maryland Loan Receivable, including past due interest.</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total of $1,004 and $988 of inventory was supplied under this agreement during the years ended December 31, 2025 and 2024, respectively. As of December 31, 2025 and 2024, $1,000 of the remaining receivable is included within “Other current assets” as of each date and $197 and $1,084 is included within “Other non-current assets” on the Consolidated Balance Sheets. These amounts are net of reserves the Company established on the remaining receivable during 2024 due to collection risk, of which $1,000 is included in “Other current assets” and $1,083 is included within “Other noncurrent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conjunction with a definitive agreement that the Company entered into in April 2025, pursuant to which the Company proposes to acquire an entity that anticipates obtaining an adult-use license, as further described in Note 15, “Commitments and Contingencies,” the parties entered into working capital loan agreements to provide a maximum of approximately $900 of funding for the respective build out of each dispensary. Borrowings under each working capital loan bear interest at a rate of 7% per annum and borrowings and accrued interest shall be repaid following the termination of the related definitive agreement or settled as part of the associated transaction. Each working capital loan provides for customary events of default and is secured by the underlying assets of each party. The Company provided the counter-party with $349 of funding during 2025, which is included in “Notes receivable” on the Consolidated Balance Sheet as of December 31, 2025.</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2020, the Company received a promissory note from the owner of a property that the Company is renting with an initial principal of $4,500 that matures on November 1, 2030. The note bears interest at a rate of 4% per annum, payable monthly in arrears. The note provides for payments of $27 per month, consisting of principal and interest, with the remaining balance of principal due at maturity. A total of $3,672 is outstanding at December 31, 2025, of which $184 and $3,488 is included in “Other current assets” and “Other non-current assets,” respectively, on the Consolidated Balance Sheet. At December 31, 2024, a total of $3,848 was outstanding of which $177 and $3,671 is included in “Other current assets” and “Other noncurrent assets,” respectively, on the Consolidated Balance Sheet. In February 2026, the parties agreed to terminate this note and the Company received a payment of $3,000 in satisfaction of the obligations thereunder.</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on notes receivable were recognized during 2025, 2024, or 2023, other than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202,548</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213,781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84,712</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78,775</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540,754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377,372</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158,352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116,911</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382,402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260,461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expense was $41,569, $36,799, and $34,171 during 2025, 2024, and 2023, respectively. Total depreciation expense capitalized to inventory was $27,663, $25,904, and $25,436 during 2025, 2024, and 2023, respectively. At December 31, 2025 and 2024, $1,966 and $3,174, respectively, of depreciation expense remained capitalized as part of inventory.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includes the following amounts related to finance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Vehicles</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Equipment</w:t>
            </w:r>
            <w:r>
              <w:rPr>
                <w:rFonts w:ascii="Times New Roman" w:cs="Times New Roman" w:eastAsia="Times New Roman" w:hAnsi="Times New Roman"/>
                <w:sz w:val="23"/>
                <w:szCs w:val="23"/>
                <w:color w:val="auto"/>
                <w:vertAlign w:val="superscript"/>
              </w:rPr>
              <w:t>(1)(2)</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133,981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Less: accumulated amortization</w:t>
            </w:r>
            <w:r>
              <w:rPr>
                <w:rFonts w:ascii="Times New Roman" w:cs="Times New Roman" w:eastAsia="Times New Roman" w:hAnsi="Times New Roman"/>
                <w:sz w:val="23"/>
                <w:szCs w:val="23"/>
                <w:color w:val="auto"/>
                <w:vertAlign w:val="superscript"/>
              </w:rPr>
              <w:t>(3)</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(4)</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128,732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“Furniture, fixtures, and equipment.”</w:t>
      </w:r>
    </w:p>
    <w:p>
      <w:pPr>
        <w:spacing w:after="0" w:line="100"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Equipment leased pursuant to a master lease agreement that was entered into in June 2022, which provided for up to $15,000 in aggregate, pursuant to individual lease agreements.</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“Accumulated depreciation.” Disposals and write offs of accumulated amortization during 2025 were not material.</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10, “Leases,” for additional information regarding our lease arrangements.</w:t>
      </w:r>
    </w:p>
    <w:p>
      <w:pPr>
        <w:spacing w:after="0" w:line="13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Disposals and write offs of accumulated depreciation during 2025 and 2024 were not material. During 2025, we recognized an $800 gain associated with the sale of a piece of equipment that was previously written off, which is included within “General and administrative expenses” on the Consolidated Statements of Operations. During 2023, we recognized a loss of $323 related to the sale of one property that is included within “General and administrative expenses” and wrote-off $317 of accumulated depreciation. Refer to Note 10, “Leases,” for additional information regarding this sale leaseback transaction. Additionally, during 2023 the Company wrote-off $1,484 of certain construction in progress projects, which is included within “General and administrative expenses” on the Consolidated Statements of Operations and within “Other”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the terms of various agreements and contractual relationships to determine if the Company is the primary beneficiary, generally due to provisions that provide the Company with operational and financial influence over the underlying entity, as well as financial distributions based on the underlying associated results of operations, which thereby provides the Company with the ability to direct significant activities of the VIE and has the obligation to absorb losses or the right to receive benefits from the VIE. Such transactions may include support services agreements, management services agreements, loan or financing agreements, or various other contractual agreements. Where the Company determines that it is the primary beneficiary of a VIE, the accounts of that VIE are consolidated.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2024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at its sole discretion, up to $2,500 of financing (the “January 2024 Loan Agreement”) to a third party (“Northeast Retail Partner One”). Additionally, the January 2024 Loan Agreement provides the Company with conversion options to obtain 35% of the equity interests of the borrower upon the initial funding (which occurred in January 2024) and up to an additional 65% of the remaining equity interests of the borrower at any time through October 2033, subject to certain provisions and regulatory approvals. Borrowings under the January 2024 Loan Agreement bear interest at a rate of 20% per annum and are secured by substantially all of the assets and equity interests of the third party. The January 2024 Loan Agreement provides for customary events of default, contains certain covenants and other restrictions, and provides for a default penalty of an additional 6% interest. Borrowings are due on the sixth anniversary of the January 2024 Loan Agreement, which may be extended by two additional two-year periods, and prepayment is permitted with prior written notice.</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January 2024 Loan Agreement also contains certain provisions and restrictive covenants that provide the Company with operational and financial influence over the Northeast Retail Partner One and also provides the Company with financial distributions based on the underlying associated results of operation. The Company determined that it has a variable interest in Northeast Retail Partner One and that it is the primary beneficiary, and, therefore, Northeast Retail Partner One met the criteria for consolidation as of such date. The underlying entity received a conditional license approval for one dispensary that was determined to have a fair value of $1,050, which approximated the fair value of the non-controlling interest held by the third-party member as of the effective date. The dispensary subsequently opened in December 2025. The non-controlling interest received a distribution during 2024 in accordance with the provisions of the January 2024 Loan Agreement. Since the entity is consolidated as a VIE, the intercompany activity related to the January 2024 Loan Agreement is eliminated in consolidation. The net loss attributable to the non-controlling interest was not significant during 2025 and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2024 Loan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2024, the Company entered into a loan agreement pursuant to which the Company may provide financing (the “February 2024 Loan Agreement”), at its sole discretion, to a third party (“Midwest Retail Partner One”). The parties also entered into a support services agreement under which the Company will provide management and advisory services for a set monthly fee. The February 2024 Loan Agreement initially provided for up to $3,750 of financing, but was amended in July 2024 to increase the funding amount based on the Company’s sole discretion at such a time that the borrower requests additional funding. Borrowings under the February 2024 Loan Agreement bear interest at a rate of 20% per annum and are secured by substantially all of the assets of the borrower. The February 2024 Loan Agreement provides for customary events of default, contains certain covenants and other restrictions, and provides for a default penalty of an additional 5% interest. The February 2024 Loan Agreement matures ten years from issuance, but may be extended if not otherwise converted prior to maturity, with borrowings and interest not due until such time. The February 2024 Loan Agreement provides the Company with the option to convert the outstanding balance into equity interests of the borrower, up to 100%, as may be permissible by applicable regulations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February 2024 Loan Agreement contains certain provisions and restrictive covenants that provide the Company with operational and financial influence over Midwest Retail Partner One. The Company determined that the terms and provisions of the February 2024 Loan Agreement and support services agreement create a variable interest in Midwest Retail Partner One and met the criteria for consolidation as of such date. Since the entity is consolidated as a VIE, the intercompany activity related to the February 2024 Loan Agreement and the related support services agreement is eliminated in consolidation. Midwest Retail Partner One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as of that date. The net loss attributable to the non-controlling interest was not significant during 2025 and 2024.</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Activity</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 to Note 4, “Acquisitions,” for additional information regarding certain transactions related to Midwest Retail Partner One that are consolidated as of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 Retail Partner Two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2025, the Company and a third party (“Northeast Retail Partner Two”) entered into a loan agreement pursuant to which the Company may provide to Northeast Retail Partner Two up to $2,500 of financing (the “Northeast Retail Partner Two Loan Agreement”). Borrowings under the Northeast Retail Partner Two Loan Agreement bear interest at a rate of 20% per annum and are secured by substantially all of the then-current and future assets and equity interests of the borrower. The Northeast Retail Partner Two Loan Agreement provides for customary events of default, contains certain covenants and other restrictions, and provides for a default penalty of an additional 6% interest. Borrowings are due on the tenth anniversary of the Northeast Retail Partner Two Loan Agreement. The Company has a direct equity ownership interest of 35% of the equity interests in the borrower and the Northeast Retail Partner Two Loan Agreement provides the Company with conversion options to obtain up to 100% at any time through the maturity date, subject to certain provisions and as may be permitted by applicable regulations.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Northeast Retail Partner Two Loan Agreement also contains certain provisions and restrictive covenants that provide the Company with operational and financial influence over Northeast Retail Partner Two and provides the Company with financial distributions based on the associated results of operations. The Company determined that the terms and provisions of the Northeast Retail Partner Two Loan Agreement create a variable interest in Northeast Retail Partner Two and met the criteria for consolidation as of such date. The Company and Northeast Retail Partner Two entered into a definitive agreement to acquire an entity that received licensing approvals for the operation of an adult-use dispensary for a total of $650 of cash consideration. This agreement is subject to regulatory approval, which is expected to be received within the first half of 2026, subject to the discretion of the applicable regulatory authorities. The consideration was allocated to the cost of the license, of which $250 was paid at signing. The remaining $400 was due at the earlier of: (i) the first sale of cannabis at the associated dispensary, or (ii) the one year anniversary of the agreement date, and, accordingly, was paid upon the one year anniversary in February 2026. This amount was included as a sellers’ note as of December 31, 2025; refer to Note 11, “Debt.” Additionally, the Company recorded an acquisition-related deferred tax liability of $285, which was allocated to the license as additional cost basis as of the effective date. The Company will also assume the lease associated with the anticipated dispensary location.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and the net loss attributable to the non-controlling interest was not significant during 2025. Since the entity is consolidated as a VIE, the intercompany activity related to the Northeast Retail Partner Two Loan Agreement is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 Retail Partner Three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At its sole discretion, the Company may provide funding to a third party (“Northeast Retail Partner Three”) pursuant to a loan agreement (the “Northeast Retail Partner Three Loan Agreement”). The Northeast Retail Partner Three Loan Agreement provides the Company with the option to convert the outstanding balance into equity interests of the borrower, up to 100%, as may be permissible by applicable regulations at such time. Borrowings under the Northeast Retail Partner Three Loan Agreement bear interest at a rate of 20% per annum and are secured by substantially all of the then-current or future assets of the borrower, as applicable. The Northeast Retail Partner Three Loan Agreement matures ten years from issuance, but may be extended if not otherwise converted prior to maturity, with borrowings and interest not due until such time. This third party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as of that date. Refer to Note 4, “Acquisitions,” for information regarding certain transactions related to Northeast Retail Partner Three that are consolidated as of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 Retail Partner Four Loan Agreement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2025, the Company and a third party (“Northeast Retail Partner Four”) entered into a loan agreement pursuant to which the Company may provide to Northeast Retail Partner Four up to $2,500 of financing (the “Northeast Retail Partner Four Loan Agreement”). Borrowings under the Northeast Retail Partner Four Loan Agreement bear interest at a rate of 20% per annum and are secured by substantially all of the then-current and future assets and equity interests of the borrower. The Northeast Retail Partner Four Loan Agreement provides for customary events of default, contains certain covenants and other restrictions, and provides for a default penalty of an additional 6% interest. Borrowings are due on the tenth anniversary of the Northeast Retail Partner Four Loan Agreement.</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 direct equity ownership interest of 35% of the equity interests in the borrower and the Northeast Retail Partner Four Loan Agreement and associated agreements provide the Company with conversion options to obtain up to 100% at any time through the maturity date, subject to certain provisions and as may be permitted by applicable regulations. The Northeast Retail Partner Four Loan Agreement also contains provisions and restrictive covenants that provide the Company with operational and financial influence over Northeast Retail Partner Four and the underlying operating agreement provides the Company with financial distributions based on the associated results of operations. The Company determined that the terms and provisions of the Northeast Retail Partner Four Loan Agreement and associated agreements create a variable interest in Northeast Retail Partner Four and met the criteria for consolidation as of such date.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Since the entity is consolidated as a VIE, the intercompany activity related to the Northeast Retail Partner Four Loan Agreement is eliminated in consolidation.</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and Northeast Retail Partner Four entered into a definitive agreement to acquire an entity that received licensing approvals for the operation of an adult-use dispensary, subject to regulatory approval which is expected to be received within twelve to eighteen months following the signing date, for a total of $1,500 of cash consideration. Of the total consideration, $250 was paid as a deposit during the fourth quarter of 2024 and was included within “Other current assets” on the Consolidated Balance Sheet as of December 31, 2024, $250 was paid at signing, and the remaining $1,000 will be paid at final closing and is included as a sellers’ note; refer to Note 11, “Debt.” The Company will also assume the lease associated with the dispensary location. Of the total consideration, $1,383 was allocated to the cost of the license and $117 was allocated to the security deposit for the associated lease, which had a lease liability and ROU asset of $872 and is classified as a finance lease; refer to Note 10, “Leases,” for additional information regarding the Company’s lease arrangements. Additionally, the Company recorded an acquisition-related deferred tax liability of $607, which was allocated to the license as additional cost basis as of the effective date. The net loss attributable to the non-controlling interest was not significant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consolidated VIEs which are included in the Consolidated Balance Sheets as of December 31, 2025 and 2024 and Consolidated Statements of Operations for 2025, 2024, and 2023. The information below excludes intercompany balances and activity that eliminate in consolidation. Following the closing of a transaction, a previously consolidated VIE is considered wholly-owned beginning in the fourth quarter of 2025 and is therefore excluded from the balance sheet information as of December 31, 2025, with the related results for 2025 included through such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16,014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60" w:type="dxa"/>
            <w:vAlign w:val="bottom"/>
          </w:tcPr>
          <w:p>
            <w:pPr>
              <w:spacing w:after="0"/>
              <w:rPr>
                <w:sz w:val="19"/>
                <w:szCs w:val="19"/>
                <w:color w:val="auto"/>
              </w:rPr>
            </w:pP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67,711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63,334</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19,523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60" w:type="dxa"/>
            <w:vAlign w:val="bottom"/>
          </w:tcPr>
          <w:p>
            <w:pPr>
              <w:spacing w:after="0"/>
              <w:rPr>
                <w:sz w:val="19"/>
                <w:szCs w:val="19"/>
                <w:color w:val="auto"/>
              </w:rPr>
            </w:pPr>
          </w:p>
        </w:tc>
        <w:tc>
          <w:tcPr>
            <w:tcW w:w="1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22,137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attributable to AWH</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(5,213)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17,066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(5,170)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r>
    </w:tbl>
    <w:p>
      <w:pPr>
        <w:spacing w:after="0" w:line="270" w:lineRule="exact"/>
        <w:rPr>
          <w:sz w:val="20"/>
          <w:szCs w:val="20"/>
          <w:color w:val="auto"/>
        </w:rPr>
      </w:pPr>
    </w:p>
    <w:p>
      <w:pPr>
        <w:ind w:right="7680" w:firstLine="8"/>
        <w:spacing w:after="0" w:line="461" w:lineRule="auto"/>
        <w:tabs>
          <w:tab w:leader="none" w:pos="1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 Intangible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282,745</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262,017</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In-place leases</w:t>
            </w:r>
            <w:r>
              <w:rPr>
                <w:rFonts w:ascii="Times New Roman" w:cs="Times New Roman" w:eastAsia="Times New Roman" w:hAnsi="Times New Roman"/>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290,225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277,260</w:t>
            </w: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(60,203)</w:t>
            </w:r>
          </w:p>
        </w:tc>
      </w:tr>
      <w:tr>
        <w:trPr>
          <w:trHeight w:val="230"/>
        </w:trPr>
        <w:tc>
          <w:tcPr>
            <w:tcW w:w="20" w:type="dxa"/>
            <w:vAlign w:val="bottom"/>
          </w:tcPr>
          <w:p>
            <w:pPr>
              <w:spacing w:after="0"/>
              <w:rPr>
                <w:sz w:val="19"/>
                <w:szCs w:val="19"/>
                <w:color w:val="auto"/>
              </w:rPr>
            </w:pPr>
          </w:p>
        </w:tc>
        <w:tc>
          <w:tcPr>
            <w:tcW w:w="726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In-place leases</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(94,153)</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(71,758)</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Total intangible assets, net</w:t>
            </w:r>
            <w:r>
              <w:rPr>
                <w:rFonts w:ascii="Times New Roman" w:cs="Times New Roman" w:eastAsia="Times New Roman" w:hAnsi="Times New Roman"/>
                <w:sz w:val="23"/>
                <w:szCs w:val="23"/>
                <w:b w:val="1"/>
                <w:bCs w:val="1"/>
                <w:color w:val="auto"/>
                <w:vertAlign w:val="superscript"/>
              </w:rPr>
              <w:t>(2)</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196,072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right="20" w:hanging="332"/>
        <w:spacing w:after="0" w:line="237" w:lineRule="auto"/>
        <w:tabs>
          <w:tab w:leader="none" w:pos="328"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Reflects the write off of $7,763 of a fully amortized intangible asset during 2025 that was associated with a store closure, including $2,911 of accelerated amortization resulting from the revised useful life. The balance as of December 31, </w:t>
      </w:r>
      <w:r>
        <w:rPr>
          <w:rFonts w:ascii="Times New Roman" w:cs="Times New Roman" w:eastAsia="Times New Roman" w:hAnsi="Times New Roman"/>
          <w:sz w:val="16"/>
          <w:szCs w:val="16"/>
          <w:color w:val="070707"/>
        </w:rPr>
        <w:t>2024 reflects the write off of</w:t>
      </w:r>
      <w:r>
        <w:rPr>
          <w:rFonts w:ascii="Times New Roman" w:cs="Times New Roman" w:eastAsia="Times New Roman" w:hAnsi="Times New Roman"/>
          <w:sz w:val="16"/>
          <w:szCs w:val="16"/>
          <w:color w:val="auto"/>
        </w:rPr>
        <w:t xml:space="preserve"> $5,100 during </w:t>
      </w:r>
      <w:r>
        <w:rPr>
          <w:rFonts w:ascii="Times New Roman" w:cs="Times New Roman" w:eastAsia="Times New Roman" w:hAnsi="Times New Roman"/>
          <w:sz w:val="16"/>
          <w:szCs w:val="16"/>
          <w:color w:val="070707"/>
        </w:rPr>
        <w:t>2024 that was</w:t>
      </w:r>
      <w:r>
        <w:rPr>
          <w:rFonts w:ascii="Times New Roman" w:cs="Times New Roman" w:eastAsia="Times New Roman" w:hAnsi="Times New Roman"/>
          <w:sz w:val="16"/>
          <w:szCs w:val="16"/>
          <w:color w:val="auto"/>
        </w:rPr>
        <w:t xml:space="preserve"> associated with fully amortized intangible assets that are no longer in-use.</w:t>
      </w:r>
    </w:p>
    <w:p>
      <w:pPr>
        <w:spacing w:after="0" w:line="86"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8"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intangible assets are being amortized over the expected period of benefit, with a weighted-average remaining life of approximately 7.1 years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was $30,158, $27,100, and $23,589 during 2025</w:t>
      </w:r>
      <w:r>
        <w:rPr>
          <w:rFonts w:ascii="Times New Roman" w:cs="Times New Roman" w:eastAsia="Times New Roman" w:hAnsi="Times New Roman"/>
          <w:sz w:val="18"/>
          <w:szCs w:val="18"/>
          <w:color w:val="070707"/>
        </w:rPr>
        <w:t>, 2024, and 2023, respectively. Total amortization expense capitalized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707"/>
        </w:rPr>
        <w:t xml:space="preserve">inventory was $3,018, $3,016, and $2,790 during 2025, 2024, and 2023, respectively. </w:t>
      </w:r>
      <w:r>
        <w:rPr>
          <w:rFonts w:ascii="Times New Roman" w:cs="Times New Roman" w:eastAsia="Times New Roman" w:hAnsi="Times New Roman"/>
          <w:sz w:val="18"/>
          <w:szCs w:val="18"/>
          <w:color w:val="000000"/>
        </w:rPr>
        <w:t>At December 31, 2025 and 2024, $399 and $994, respectively, of</w:t>
      </w:r>
      <w:r>
        <w:rPr>
          <w:rFonts w:ascii="Times New Roman" w:cs="Times New Roman" w:eastAsia="Times New Roman" w:hAnsi="Times New Roman"/>
          <w:sz w:val="18"/>
          <w:szCs w:val="18"/>
          <w:color w:val="070707"/>
        </w:rPr>
        <w:t xml:space="preserve"> </w:t>
      </w:r>
      <w:r>
        <w:rPr>
          <w:rFonts w:ascii="Times New Roman" w:cs="Times New Roman" w:eastAsia="Times New Roman" w:hAnsi="Times New Roman"/>
          <w:sz w:val="18"/>
          <w:szCs w:val="18"/>
          <w:color w:val="000000"/>
        </w:rPr>
        <w:t>amortization expense remained capitalized as part of inventory.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70707"/>
        </w:rPr>
        <w:t>No impairment indicators were noted during 2025, 2024, or 2023 and, as such, w</w:t>
      </w:r>
      <w:r>
        <w:rPr>
          <w:rFonts w:ascii="Times New Roman" w:cs="Times New Roman" w:eastAsia="Times New Roman" w:hAnsi="Times New Roman"/>
          <w:sz w:val="18"/>
          <w:szCs w:val="18"/>
          <w:color w:val="000000"/>
        </w:rPr>
        <w:t>e did not record any impairment charges.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Annual Amortization Expense for Each of the Next Five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2030</w:t>
            </w:r>
          </w:p>
        </w:tc>
      </w:tr>
      <w:tr>
        <w:trPr>
          <w:trHeight w:val="223"/>
        </w:trPr>
        <w:tc>
          <w:tcPr>
            <w:tcW w:w="3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Estimated amortization expense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27,328</w:t>
            </w:r>
          </w:p>
        </w:tc>
      </w:tr>
    </w:tbl>
    <w:p>
      <w:pPr>
        <w:spacing w:after="0" w:line="189" w:lineRule="exact"/>
        <w:rPr>
          <w:sz w:val="20"/>
          <w:szCs w:val="20"/>
          <w:color w:val="auto"/>
        </w:rPr>
      </w:pPr>
    </w:p>
    <w:p>
      <w:pPr>
        <w:ind w:left="340" w:right="20" w:hanging="332"/>
        <w:spacing w:after="0" w:line="225" w:lineRule="auto"/>
        <w:tabs>
          <w:tab w:leader="none" w:pos="328"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Estimated amortization expense based on intangible assets recognized as of December 31, 2025. These amounts could vary as acquisitions of additional intangible assets occur in the future or due to changes in anticipated commencement of operations for certain locations.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w:t>
            </w:r>
          </w:p>
        </w:tc>
      </w:tr>
      <w:tr>
        <w:trPr>
          <w:trHeight w:val="229"/>
        </w:trPr>
        <w:tc>
          <w:tcPr>
            <w:tcW w:w="20" w:type="dxa"/>
            <w:vAlign w:val="bottom"/>
          </w:tcPr>
          <w:p>
            <w:pPr>
              <w:spacing w:after="0"/>
              <w:rPr>
                <w:sz w:val="19"/>
                <w:szCs w:val="19"/>
                <w:color w:val="auto"/>
              </w:rPr>
            </w:pPr>
          </w:p>
        </w:tc>
        <w:tc>
          <w:tcPr>
            <w:tcW w:w="92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Adjustments to purchase price allocation</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49,599</w:t>
            </w: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Adjustments to purchase price allocation</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4, “Acquisitions,”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LEASES</w:t>
            </w: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998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The components of lease assets and lease liabilities and their classification on our Consolidated Balance Sheets were as follows:</w:t>
            </w:r>
          </w:p>
        </w:tc>
        <w:tc>
          <w:tcPr>
            <w:tcW w:w="12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2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80" w:type="dxa"/>
            <w:vAlign w:val="bottom"/>
            <w:gridSpan w:val="2"/>
          </w:tcPr>
          <w:p>
            <w:pPr>
              <w:ind w:left="1760"/>
              <w:spacing w:after="0" w:line="149" w:lineRule="exact"/>
              <w:rPr>
                <w:sz w:val="20"/>
                <w:szCs w:val="20"/>
                <w:color w:val="auto"/>
              </w:rPr>
            </w:pPr>
            <w:r>
              <w:rPr>
                <w:rFonts w:ascii="Times New Roman" w:cs="Times New Roman" w:eastAsia="Times New Roman" w:hAnsi="Times New Roman"/>
                <w:sz w:val="17"/>
                <w:szCs w:val="17"/>
                <w:b w:val="1"/>
                <w:bCs w:val="1"/>
                <w:color w:val="auto"/>
              </w:rPr>
              <w:t>Classification</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47,063</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139,067</w:t>
            </w: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128,732</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23"/>
        </w:trPr>
        <w:tc>
          <w:tcPr>
            <w:tcW w:w="20" w:type="dxa"/>
            <w:vAlign w:val="bottom"/>
          </w:tcPr>
          <w:p>
            <w:pPr>
              <w:spacing w:after="0"/>
              <w:rPr>
                <w:sz w:val="19"/>
                <w:szCs w:val="19"/>
                <w:color w:val="auto"/>
              </w:rPr>
            </w:pPr>
          </w:p>
        </w:tc>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175,795</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and other lease financing liabilities, current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0"/>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267,221</w:t>
            </w:r>
          </w:p>
        </w:tc>
      </w:tr>
      <w:tr>
        <w:trPr>
          <w:trHeight w:val="229"/>
        </w:trPr>
        <w:tc>
          <w:tcPr>
            <w:tcW w:w="2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and other lease financing liabilities, non-current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243,813</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costs and classification within the Consolidated Statements of Operations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to inventory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36,531</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w:t>
            </w:r>
          </w:p>
        </w:tc>
      </w:tr>
      <w:tr>
        <w:trPr>
          <w:trHeight w:val="270"/>
        </w:trPr>
        <w:tc>
          <w:tcPr>
            <w:tcW w:w="2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leased assets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as a component of depreciation expense within “General and administrative expenses” on the Consolidated Statements of Operations.</w:t>
      </w:r>
    </w:p>
    <w:p>
      <w:pPr>
        <w:spacing w:after="0" w:line="149" w:lineRule="exact"/>
        <w:rPr>
          <w:rFonts w:ascii="Times New Roman" w:cs="Times New Roman" w:eastAsia="Times New Roman" w:hAnsi="Times New Roman"/>
          <w:sz w:val="21"/>
          <w:szCs w:val="21"/>
          <w:color w:val="auto"/>
          <w:vertAlign w:val="superscript"/>
        </w:rPr>
      </w:pPr>
    </w:p>
    <w:p>
      <w:pPr>
        <w:ind w:left="660" w:right="2320"/>
        <w:spacing w:after="0" w:line="45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At December 31, 2025 and 2024, $5,297 and $6,886, respectively, of lease costs remained capitalized in inventory. The following table presents information on short-term and variable lease costs: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jc w:val="right"/>
              <w:ind w:right="5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variable lease costs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income generated during 2025, 2024, and 2023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supplemental cash and non-cash information related to our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380" w:type="dxa"/>
            <w:vAlign w:val="bottom"/>
          </w:tcPr>
          <w:p>
            <w:pPr>
              <w:jc w:val="right"/>
              <w:ind w:right="59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ind w:right="5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38,598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41,501</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37,317</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10,414</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33,004</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473"/>
        </w:trPr>
        <w:tc>
          <w:tcPr>
            <w:tcW w:w="20" w:type="dxa"/>
            <w:vAlign w:val="bottom"/>
          </w:tcPr>
          <w:p>
            <w:pPr>
              <w:spacing w:after="0"/>
              <w:rPr>
                <w:sz w:val="24"/>
                <w:szCs w:val="24"/>
                <w:color w:val="auto"/>
              </w:rPr>
            </w:pPr>
          </w:p>
        </w:tc>
        <w:tc>
          <w:tcPr>
            <w:tcW w:w="76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term (years)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20" w:type="dxa"/>
            <w:vAlign w:val="bottom"/>
          </w:tcPr>
          <w:p>
            <w:pPr>
              <w:spacing w:after="0"/>
              <w:rPr>
                <w:sz w:val="20"/>
                <w:szCs w:val="20"/>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certain leases met the criteria to be reassessed for modification treatment. Based on the modified terms, operating leases with a total of $91,454 of ROU assets and $207,398 of lease liabilities were reclassified as finance leases, with a total of $92,136 of ROU assets and $208,110 of lease liabilities.</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amounts of future undiscounted cash flows related to the lease payments over the lease terms and the reconciliation to the present value of the lease liabilities as recorded on our Consolidated Balance Sheet as of December 31, 2025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Operating Lease</w:t>
            </w:r>
          </w:p>
        </w:tc>
        <w:tc>
          <w:tcPr>
            <w:tcW w:w="280" w:type="dxa"/>
            <w:vAlign w:val="bottom"/>
          </w:tcPr>
          <w:p>
            <w:pPr>
              <w:spacing w:after="0"/>
              <w:rPr>
                <w:sz w:val="18"/>
                <w:szCs w:val="18"/>
                <w:color w:val="auto"/>
              </w:rPr>
            </w:pP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Finance Lease</w:t>
            </w:r>
          </w:p>
        </w:tc>
      </w:tr>
      <w:tr>
        <w:trPr>
          <w:trHeight w:val="184"/>
        </w:trPr>
        <w:tc>
          <w:tcPr>
            <w:tcW w:w="2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80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6"/>
                <w:szCs w:val="16"/>
                <w:color w:val="auto"/>
              </w:rPr>
            </w:pPr>
          </w:p>
        </w:tc>
        <w:tc>
          <w:tcPr>
            <w:tcW w:w="1660" w:type="dxa"/>
            <w:vAlign w:val="bottom"/>
          </w:tcPr>
          <w:p>
            <w:pPr>
              <w:jc w:val="right"/>
              <w:ind w:right="490"/>
              <w:spacing w:after="0" w:line="164" w:lineRule="exact"/>
              <w:rPr>
                <w:sz w:val="20"/>
                <w:szCs w:val="20"/>
                <w:color w:val="auto"/>
              </w:rPr>
            </w:pPr>
            <w:r>
              <w:rPr>
                <w:rFonts w:ascii="Times New Roman" w:cs="Times New Roman" w:eastAsia="Times New Roman" w:hAnsi="Times New Roman"/>
                <w:sz w:val="18"/>
                <w:szCs w:val="18"/>
                <w:b w:val="1"/>
                <w:bCs w:val="1"/>
                <w:color w:val="auto"/>
              </w:rPr>
              <w:t>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35,916</w:t>
            </w:r>
          </w:p>
        </w:tc>
      </w:tr>
      <w:tr>
        <w:trPr>
          <w:trHeight w:val="22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36,168</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r>
      <w:tr>
        <w:trPr>
          <w:trHeight w:val="23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37,738</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548,939</w:t>
            </w: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734,272</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Lease Amendments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we amended the lease related to our Franklin, New Jersey cultivation facility to increase the tenant improvement allowance, which resulted in increased rent amounts. We accounted for the amendment as a lease modification and remeasured the ROU asset and lease liability as of the amendment date, which resulted in a total additional tenant improvement allowance of $15,000 a reduction of $2,254 to the ROU asset, and an increase of $12,746 to the lease liability at the time of the amendment.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Leaseback Transactions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 lease financing liability equal to the amount of proceeds received is recorded within “Finance lease and other lease financing liabilities, non-current” on the Consolidated Balance Sheets, and totaled $18,100 as of each of December 31, 2025 and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Cash payments due under</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financing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Previous Transactions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2023, the Company sold and subsequently leased back one of its capital assets in Pennsylvania for total proceeds of $15,000, excluding transaction costs. The transaction met the criteria for sale leaseback treatment. The lease was recorded as an operating lease and resulted in a lease liability of $12,758 and an ROU asset of $19,496, which includes an off-market lease adjustment of $6,738.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Term Notes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Credit Facility</w:t>
            </w:r>
          </w:p>
        </w:tc>
        <w:tc>
          <w:tcPr>
            <w:tcW w:w="460" w:type="dxa"/>
            <w:vAlign w:val="bottom"/>
          </w:tcPr>
          <w:p>
            <w:pPr>
              <w:spacing w:after="0"/>
              <w:rPr>
                <w:sz w:val="23"/>
                <w:szCs w:val="23"/>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Sellers’ notes</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Note</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Agreement</w:t>
            </w:r>
          </w:p>
        </w:tc>
        <w:tc>
          <w:tcPr>
            <w:tcW w:w="4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319,520</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8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73,024</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portion of debt, net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309,133</w:t>
            </w:r>
          </w:p>
        </w:tc>
        <w:tc>
          <w:tcPr>
            <w:tcW w:w="8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8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291,104</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Term Notes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16, 2024, the Company issued $235,000 in aggregate principal of senior secured notes due July 16, 2029 (the “July 2024 Term Notes”) through a private placement (the “2024 Notes Offering”). The July 2024 Term Notes were issued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July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 that are included within “General and administrative expenses” on the Consolidated Statements of Operations for 2024.</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The January 2025 Term Notes were funded by existing lenders and met the criteria for modification accounting treatment. The total of the original issue discount and other capitalized direct financing fees was approximately $700 and will be amortized over the associated term using the straight-line method, which approximates the interest method. The Company incurred $400 of other expenses associated with this transaction that were not capitalizable and are included within “General and administrative expenses” on the Consolidated Statements of Operations for 2025. The Company utilized the net proceeds from the January 2025 Term Notes primarily for general corporate purposes, including to fund growth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2025, the Company borrowed an additional $50,000 through the issuance of additional term loans (the “May 2025 Term Notes,” and, together with the July 2024 Term Notes and January 2025 Term Notes, the “2024 Term Notes”). The May 2025 Term Notes were issued at 97.5% of face value and are subject to the same terms and provisions of the July 2024 Loan Agreement, including the interest rate and maturity date thereunder, as further described below. The May 2025 Term Notes were funded by existing lenders and met the criteria for modification accounting treatment. The total of the original issue discount and other capitalized direct financing fees was approximately $1,600 and will be amortized over the associated term using the straight-line method, which approximates the interest method. The Company incurred approximately $700 of other expenses associated with this transaction that were not capitalizable and are included within “General and administrative expenses” on the Consolidated Statements of Operations for 2025. The Company utilized the net proceeds from the May 2025 Term Notes, along with cash on hand, to prepay the remaining $60,000 of borrowings outstanding under the 2021 Credit Facility, as further described below.</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and, in turn,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and provided for up to an additional $60,000 in aggregate principal, with the proceeds therefrom to be used to prepay the remaining outstanding balance under, and to terminate, the 2021 Credit Facility. In May 2025, the Company issued an additional $50,000 of term loans pursuant to this provision, as described above.</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In January 2025, the July 2024 Loan Agreement was amended to modify certain terms and provisions, which amended terms and provisions were not due to actual or anticipated covenant violations. The July 2024 Loan Agreement, as amended, requires the Company, on a consolidated basis, to maintain liquidity, consisting of cash and/or cash equivalents plus any future revolving credit availability, as of the last day of each fiscal month in an aggregate amount of at least $20,000, with which the Company was in compliance as of December 31, 2025. The Company is required to comply with certain other financial covenants in contemplation of certain transactions or events, such as acquisitions and other financing activities, if and as applicable, as defined within and provided for under the July 2024 Loan Agreement,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Credit Facility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27, 2021, the Company entered into a credit agreement with a group of lenders (the “2021 Credit Agreement”) that provided for an initial term loan of $210,000, which was borrowed in full. The 2021 Credit Agreement provided for an expansion feature that allowed the Company to request an increase in the term loan outstanding up to $275,000 if the then-existing lenders (or other lenders) agreed to provide such additional term loans. During the second quarter of 2022, the Company borrowed an additional $65,000 pursuant to this expansion feature (the “2022 Loans” and, together with the initial term loan, the “2021 Credit Facility”).</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2021 Credit Facility had a maturity date of August 27, 2025 and did not require scheduled principal amortization payments. Prepayments were permitted at any time, subject to a customary make-whole payment or prepayment penalty, as applicable. In June 2024, the 2021 Credit Agreement was amended to, among other things, permit the Company to issue new senior secured notes. In July 2024, the Company prepaid $215,000 of borrowings outstanding under the 2021 Credit Facility (the “July 2024 Prepayment”), primarily utilizing the proceeds from the issuance of the 2024 Term Notes, as discussed above. The Company recognized, as a component of interest expense for 2024, a loss on extinguishment of $5,475 related to the July 2024 Prepayment, which included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remained capitalized and were deferred over the term of the 2024 Term Notes in accordance with modification treatment. The total prepayment fee of $5,106 is included within “Debt issuance costs” on the Consolidated Statements of Cash Flows for 2024. A total of $943 of unamortized deferred financing costs were associated with the portion of the 2021 Credit Facility that was not prepaid remained outstanding and were amortized through the remaining term of those loans.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total of $60,000 remained outstanding under the 2021 Credit Agreement following the July 2024 Prepayment and was subsequently prepaid in full in May 2025 (the “May 2025 Prepayment”) utilizing the proceeds from the May 2025 Term Notes, along with cash on hand, as further described above. In conjunction with the May 2025 Prepayment, the Company recognized a loss on extinguishment of $126, primarily consisting of unamortized deferred financing costs that were then-outstanding. Following the May 2025 Prepayment, the 2021 Credit Facility was terminated and the obligations thereunder were considered satisfied in full.</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prepayment, borrowings under the 2021 Credit Facility bore interest at a rate of 9.5% per annum, payable quarterly and, as to any portion of the term loan that is prepaid, on the date of prepayment. We incurred initial financing costs of $8,806 and additional financing costs of $7,606 related to the 2022 Loans, which included warrants issued to certain lenders to acquire 3,130 shares of Class A common stock that had a fair value of $2,639 at issuance (refer to Note 12, “Stockholders’ Equity,” for additional information). The financing costs were amortized to interest expense over the term of 2021 Credit Facility using the straight-line method which approximated the interest rate method.</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2024, the 2021 Credit Agreement was amended to permit the Company to initiate, from time to time and at its discretion, a “Dutch Auction” pursuant to which it could issue a tender offer to existing lenders to re-purchase and retire their loans at a specified discount to par. No such re-purchase occurred.</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was required to comply with two financial covenants under the 2021 Credit Agreement. The Company could not permit its liquidity (defined as unrestricted cash and cash equivalents pledged under the 2021 Credit Facility plus any future revolving credit availability) to be below $20,000 as of the last day of any fiscal quarter. Additionally, the Company could not permit the ratio of Consolidated EBITDA (as defined in the 2021 Credit Agreement) to consolidated cash interest expense for any period of four consecutive fiscal quarters to be less than 2.00:1.00 for the period ending December 31, 2021 and increased to not less than 2.50:1.00 for the period ending June 30, 2022 and thereafter. The Company was in compliance with these covenants, as applicable, through the termination of the 2021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2021 Credit Agreement required the Company to make certain representations and warranties and to comply with customary covenants, including restrictions on the payment of dividends, repurchase of stock, incurrence of indebtedness, dispositions, and acquisitions. The 2021 Credit Agreement also contained customary events of default, which did not occur. The 2021 Credit Facility was guaranteed by all of the Company’s subsidiaries and was secured by substantially all of the assets of the Company and its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Sellers’ Notes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Sellers’ notes consist of amounts owed for acquisitions or other purchases. Sellers’ notes includes the OPA Sellers’ Note which had a balance of $2,000 and $11,000 included in “Current portion of debt, net” as of December 31, 2025, and 2024, respectively. The initial $11,000 OPA Sellers’ Note was recorded net of a discount of $3,010 that was calculated as of the transaction date utilizing the Company’s estimated incremental borrowing rate based on the anticipated close date and was accreted to interest expense over an expected term. Additionally, as of December 31, 2025, sellers’ notes includes a total of $6,800 related to the acquisitions associated with Midwest Retail Partner One, and $1,400 related to acquisitions with other partnerships, as further described in Note 8, “Variable Interest Entities,” which are included within the current portion of debt, net as of December 31, 2025.</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2024, we paid a total of $8,100 of sellers’ notes related to the acquisition of two additional licenses in Illinois that was outstanding as of December 31, 2023 and is further described in Note 4, “Acquisitions,” as well as the final $786 that remained outstanding for the purchase of a previous non-controlling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Note</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September 29, 2025, certain of the Company’s subsidiaries (the “Borrowing Subsidiaries”) entered into a loan agreement and related promissory note with an aggregate principal amount of $9,345 (the “Mortgage Note”), which was borrowed in full. The Company anticipates utilizing the net proceeds for general corporate purposes, including to fund growth initiatives. The Mortgage Note matures on September 29, 2030 and borrowings thereunder bear interest at a rate of 8.5% per annum. Monthly payments of principal and interest commenced on November 1, 2025. Principal will be repaid based on an amortization period of twenty years and any unpaid principal and accrued interest will be due and payable upon maturity. As of December 31, 2025, $187 of principal is included within “Current portion of debt, net” and $9,133 is included within “Long-term debt, net” on the Consolidated Balance Sheet. The Company incurred $102 of direct financing fees associated with the Mortgage Note, which will be amortized over the respective term. The obligations under the Mortgage Note are secured by mortgages on three properties that the Company owns in Ohio, as well as assignment of any leases and rent amounts related to these properties that the Company may enter into. The Mortgage Note contains customary representations and events of default. The Borrowing Subsidiaries have agreed to comply with certain customary covenants, including, but not limited to, restrictions on their ability to: incur additional indebtedness; create certain liens; make material changes to the nature of the business conducted; and sell, lease, transfer, or otherwise dispose of all or a substantial part of their assets. The Mortgage Note also requires the Borrowing Subsidiaries to maintain a debt service coverage ratio (as defined in the Mortgage Note) of not less than 1.30 to 1.00 measured annually based on the entire calendar year and commencing on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as a component of “Other, net” on the Consolidated Statements of Operations during 2023. The Company received $20,830 of the ERTC Claim during 2023, which was remitted to the lender per the terms of the Financing Agreement. A total of $1,964 of the ERTC Claim was outstanding as of December 31, 2024, which corresponding receivable was included in “Other current assets” on the Consolidated Balance Sheet, and the balance outstanding under the Financing Agreement is included in “Current portion of debt, net” as of December 31, 2024. A total of $335 was received and repaid during the second quarter of 2025 and $1,629 was received and repaid during the third quarter of 2025. The Company’s obligations related to repayment are largely satisfied as of December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following cash payments are required under our debt arrangements: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r>
      <w:tr>
        <w:trPr>
          <w:trHeight w:val="229"/>
        </w:trPr>
        <w:tc>
          <w:tcPr>
            <w:tcW w:w="20" w:type="dxa"/>
            <w:vAlign w:val="bottom"/>
          </w:tcPr>
          <w:p>
            <w:pPr>
              <w:spacing w:after="0"/>
              <w:rPr>
                <w:sz w:val="19"/>
                <w:szCs w:val="19"/>
                <w:color w:val="auto"/>
              </w:rPr>
            </w:pPr>
          </w:p>
        </w:tc>
        <w:tc>
          <w:tcPr>
            <w:tcW w:w="33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Mortgage Note</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note maturities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bl>
    <w:p>
      <w:pPr>
        <w:spacing w:after="0" w:line="158"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cash payments include an interest accretion component. The timing of certain payments may vary based on regulatory approval of the underlying transactions.</w:t>
      </w:r>
    </w:p>
    <w:p>
      <w:pPr>
        <w:spacing w:after="0" w:line="57"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Principal payments due under the Mortgage Note.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during 2025, 2024, and 2023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4"/>
                <w:szCs w:val="14"/>
                <w:color w:val="auto"/>
              </w:rPr>
            </w:pPr>
          </w:p>
        </w:tc>
        <w:tc>
          <w:tcPr>
            <w:tcW w:w="1220" w:type="dxa"/>
            <w:vAlign w:val="bottom"/>
          </w:tcPr>
          <w:p>
            <w:pPr>
              <w:jc w:val="right"/>
              <w:ind w:right="5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 on loans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25,992</w:t>
            </w: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r>
      <w:tr>
        <w:trPr>
          <w:trHeight w:val="229"/>
        </w:trPr>
        <w:tc>
          <w:tcPr>
            <w:tcW w:w="20" w:type="dxa"/>
            <w:vAlign w:val="bottom"/>
          </w:tcPr>
          <w:p>
            <w:pPr>
              <w:spacing w:after="0"/>
              <w:rPr>
                <w:sz w:val="19"/>
                <w:szCs w:val="19"/>
                <w:color w:val="auto"/>
              </w:rPr>
            </w:pPr>
          </w:p>
        </w:tc>
        <w:tc>
          <w:tcPr>
            <w:tcW w:w="60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Interest on financing liabilities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on financing liabilities related to failed sale leaseback transactions. See Note 10, “Leases,” for additional details.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recorded for 2025 includes a loss on extinguishment associated with the May 2025 Prepayment, primarily related to the write-off of unamortized deferred financing costs. Additionally, the amount recorded for 2024 includes $3,527 of pre-payment fees associated with the partial extinguishment treatment of the pre-payment made under the 2021 Credit Facility and the write-off of $1,948 of unamortized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and any contractual limitations, such as our credit agreements, the holders of our common stock will be entitled to receive dividends out of funds then legally available, if any, if our board of directors (the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change of control transaction in respect of the Company,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 vote of the holders of a majority of the outstanding shares of Class A common stock and Class B common stock, each voting separately as a class.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prior to the Conversion, the Company was authorized to issue common units, preferred units, and restricted common units, all with no par value. In conjunction with the Conversion, each historical common unit then-outstanding converted into one share of Class A common stock, except 65 units that were allocated to shares of Class B common stock.</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4, 2021, the Company completed an Initial Public Offering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after deducting underwriting discounts and commissions and certain other direct offering expenses paid by us. In connection with the IPO, the historical common units and preferred units then-outstanding automatically converted into shares of Class A common stock on a one-for-one basis, except certain historical preferred units that converted at a rate of one plus 1.5x, divided by the IPO price of $8.00 per share. Additionally, the Company’s then-outstanding convertible promissory notes, plus accrued interest, converted into shares of Class A common stock in accordance with the terms of such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shares of Class A common stock and Class B common stock outstanding as of December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66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94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204,961</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202,217</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205,026</w:t>
            </w:r>
          </w:p>
        </w:tc>
      </w:tr>
    </w:tbl>
    <w:p>
      <w:pPr>
        <w:spacing w:after="0" w:line="2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2024, the Company completed a non-brokered private transaction with a single investor through which it repurchased and retired 11,000 shares of Class A common stock for an aggregate of $2,750, which shares represented approximately 5% of the then-outstanding shares of Class A common stock. Additionally, in December 2024, the Company’s Board authorized a share buyback program (the “Buyback Program”) which permitted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Buyback Program expired on January 1, 2026. The total number of shares purchased, timing of purchases, and share prices were dependent upon market conditions and business considerations, any applicable securities law requirements, CSE rules, and any determination of best use of cash available at the time. The shares purchased through the Buyback Program were retired. Through December 31, 2025, a total of 4,801 shares were purchased under the Buyback Program for an aggregate cost, inclusive of fees, of $2,311, thereby utilizing the total permitted under the Buyback Program for the cost basis of the purchases, and no share purchases remained available under the Buyback Program.</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23, 2023, the Company completed a non-brokered private placement offering of an aggregate of 9,859 shares of the Company’s Class A common stock to a single investor at a purchase price of $0.71 per share, for an aggregate of $7,000 in gross proceeds. Legal expenses incurred in connection with this financing were not material. These shares were issued pursuant to the exemption from registration provided by Rule 506(b) of Regulation D under the Securities Act of 1933, as amended, based on the nature of the transaction and various representations made by the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3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warrants activity during 2025, 2024, and 2023:</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24"/>
                <w:szCs w:val="24"/>
                <w:color w:val="auto"/>
              </w:rPr>
            </w:pPr>
          </w:p>
        </w:tc>
        <w:tc>
          <w:tcPr>
            <w:tcW w:w="1740" w:type="dxa"/>
            <w:vAlign w:val="bottom"/>
            <w:vMerge w:val="restart"/>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Warrants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Remaining Exercise</w:t>
            </w:r>
          </w:p>
        </w:tc>
        <w:tc>
          <w:tcPr>
            <w:tcW w:w="14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0" w:type="dxa"/>
            <w:vAlign w:val="bottom"/>
          </w:tcPr>
          <w:p>
            <w:pPr>
              <w:spacing w:after="0"/>
              <w:rPr>
                <w:sz w:val="16"/>
                <w:szCs w:val="16"/>
                <w:color w:val="auto"/>
              </w:rPr>
            </w:pPr>
          </w:p>
        </w:tc>
        <w:tc>
          <w:tcPr>
            <w:tcW w:w="1740" w:type="dxa"/>
            <w:vAlign w:val="bottom"/>
          </w:tcPr>
          <w:p>
            <w:pPr>
              <w:jc w:val="center"/>
              <w:ind w:right="51"/>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(years)</w:t>
            </w:r>
          </w:p>
        </w:tc>
        <w:tc>
          <w:tcPr>
            <w:tcW w:w="140" w:type="dxa"/>
            <w:vAlign w:val="bottom"/>
          </w:tcPr>
          <w:p>
            <w:pPr>
              <w:spacing w:after="0"/>
              <w:rPr>
                <w:sz w:val="18"/>
                <w:szCs w:val="18"/>
                <w:color w:val="auto"/>
              </w:rPr>
            </w:pPr>
          </w:p>
        </w:tc>
        <w:tc>
          <w:tcPr>
            <w:tcW w:w="1740" w:type="dxa"/>
            <w:vAlign w:val="bottom"/>
          </w:tcPr>
          <w:p>
            <w:pPr>
              <w:jc w:val="center"/>
              <w:ind w:right="71"/>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8"/>
              </w:rPr>
              <w:t>(in thousands)</w:t>
            </w:r>
            <w:r>
              <w:rPr>
                <w:rFonts w:ascii="Times New Roman" w:cs="Times New Roman" w:eastAsia="Times New Roman" w:hAnsi="Times New Roman"/>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Balance, December 31, 2022</w:t>
            </w:r>
            <w:r>
              <w:rPr>
                <w:rFonts w:ascii="Times New Roman" w:cs="Times New Roman" w:eastAsia="Times New Roman" w:hAnsi="Times New Roman"/>
                <w:sz w:val="23"/>
                <w:szCs w:val="23"/>
                <w:color w:val="auto"/>
                <w:vertAlign w:val="superscript"/>
              </w:rPr>
              <w:t>(2)</w:t>
            </w:r>
          </w:p>
        </w:tc>
        <w:tc>
          <w:tcPr>
            <w:tcW w:w="1880" w:type="dxa"/>
            <w:vAlign w:val="bottom"/>
            <w:tcBorders>
              <w:top w:val="single" w:sz="8" w:color="auto"/>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8"/>
              </w:rPr>
              <w:t>5,740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tcBorders>
              <w:bottom w:val="single" w:sz="8" w:color="auto"/>
            </w:tcBorders>
          </w:tcPr>
          <w:p>
            <w:pPr>
              <w:jc w:val="center"/>
              <w:ind w:left="1211"/>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80" w:type="dxa"/>
            <w:vAlign w:val="bottom"/>
            <w:tcBorders>
              <w:bottom w:val="single" w:sz="8" w:color="auto"/>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8"/>
              </w:rPr>
              <w:t>4,568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880" w:type="dxa"/>
            <w:vAlign w:val="bottom"/>
            <w:tcBorders>
              <w:bottom w:val="single" w:sz="8" w:color="auto"/>
            </w:tcBorders>
          </w:tcPr>
          <w:p>
            <w:pPr>
              <w:jc w:val="center"/>
              <w:ind w:left="1211"/>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880" w:type="dxa"/>
            <w:vAlign w:val="bottom"/>
            <w:tcBorders>
              <w:bottom w:val="single" w:sz="8" w:color="auto"/>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8"/>
              </w:rPr>
              <w:t>3,277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tcBorders>
              <w:bottom w:val="single" w:sz="8" w:color="auto"/>
            </w:tcBorders>
          </w:tcPr>
          <w:p>
            <w:pPr>
              <w:jc w:val="center"/>
              <w:ind w:left="1211"/>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880" w:type="dxa"/>
            <w:vAlign w:val="bottom"/>
            <w:tcBorders>
              <w:bottom w:val="single" w:sz="8" w:color="auto"/>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8"/>
              </w:rPr>
              <w:t>1,839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line="225" w:lineRule="auto"/>
        <w:tabs>
          <w:tab w:leader="none" w:pos="328"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by which the closing market price of our Class A common stock exceeds the exercise price for the referenced dates. No intrinsic value is presented when the fair value of the warrants outstanding does not exceed the exercise price for the referenced dates.</w:t>
      </w:r>
    </w:p>
    <w:p>
      <w:pPr>
        <w:spacing w:after="0" w:line="87"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warrants issued by the Company are equity-classified instruments, are subject to customary anti-dilution adjustments, are stand-alone instruments, and are not part of the terms of the notes to which they were originally issued (as applicable). In conjunction with the Conversion during 2021, the holders of previously issued warrants to acquire historical common units at an exercise price of $4.00 received warrants to acquire an equal number of shares of Class A common stock (the “Historical Warrants”). A total of 2,422 of the Historical Warrants were outstanding at December 31, 2022, of which 1,172 expired during 2023 and 1,250 expired during 2025. The estimated fair value of the Historical Warrants was not material and was calculated using a Black-Scholes model that included significant assumptions such as volatility ranging from 69.2% to 108.4% and risk-free rates ranging from 0.17% to 2.17%.</w:t>
      </w:r>
    </w:p>
    <w:p>
      <w:pPr>
        <w:spacing w:after="0" w:line="96" w:lineRule="exact"/>
        <w:rPr>
          <w:rFonts w:ascii="Times New Roman" w:cs="Times New Roman" w:eastAsia="Times New Roman" w:hAnsi="Times New Roman"/>
          <w:sz w:val="21"/>
          <w:szCs w:val="21"/>
          <w:color w:val="auto"/>
          <w:vertAlign w:val="superscript"/>
        </w:rPr>
      </w:pPr>
    </w:p>
    <w:p>
      <w:pPr>
        <w:jc w:val="both"/>
        <w:ind w:left="340"/>
        <w:spacing w:after="0" w:line="26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balance as of December 31, 2022 also includes a warrant to purchase 188 shares of Class A common stock at a strike price of $2.64 per share that was issued in November 2022 and was immediately exercisable and expired in 2025 after the stated 30 months exercise period. The issuance of this warrant was made pursuant to the exemption from registration contained in Section 4(a)(2) of the Securities Act of 1933, as amended (the “Securities Act”). The total estimated fair value was not material and was calculated using a Black-Scholes model, which included significant assumptions such as volatility of 70% and a risk-free rate of 4.2%.</w:t>
      </w:r>
    </w:p>
    <w:p>
      <w:pPr>
        <w:spacing w:after="0" w:line="71" w:lineRule="exact"/>
        <w:rPr>
          <w:rFonts w:ascii="Times New Roman" w:cs="Times New Roman" w:eastAsia="Times New Roman" w:hAnsi="Times New Roman"/>
          <w:sz w:val="21"/>
          <w:szCs w:val="21"/>
          <w:color w:val="auto"/>
          <w:vertAlign w:val="superscript"/>
        </w:rPr>
      </w:pPr>
    </w:p>
    <w:p>
      <w:pPr>
        <w:jc w:val="both"/>
        <w:ind w:left="340"/>
        <w:spacing w:after="0" w:line="25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Additionally, includes warrants that were initially issued in June 2022 in connection with the 2022 Loans (refer to Note 11, “Debt”). The Company issued warrants to purchase up to 3,130 shares of Class A common stock (the “2022 Warrants”), each of which is exercisable for one share of Class A common stock at an exercise price of $3.10 per share. The 2022 Warrants were exercisable upon issuance and have a four year term. The 2022 Warrants had a total estimated fair value of $2,639 at issuance, which was calculated using a Black-Scholes model and included significant assumptions such as volatility of 70% and a risk-free rate of 3.0%. Cashless exercise was permitted only if there was no effective registration statement registering the resale of the shares issued upon exercise, which registration statement was declared effective in December 2022 prior to any exercise. The Company will have the option to require the holders to exercise the 2022 Warrants if, after the first anniversary of the issuance, the 30-day volume-weighted average price of the Company’s Class A common stock exceeds $6.50 per share. In December 2024, the Company entered into a warrant cancellation agreement with one of the holders of the 2022 Warrants to cancel warrants to acquire 1,291 shares of Class A common stock in exchange for a payment representing the par value of those underlying shares. A total of 1,839 remain outstanding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7220" w:firstLine="8"/>
        <w:spacing w:after="0" w:line="438" w:lineRule="auto"/>
        <w:tabs>
          <w:tab w:leader="none" w:pos="27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EXPENSE Equity Incentive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an incentive plan in November 2020 (the “2020 Plan”) which authorized the issuance of incentive common unit options and restricted common units (collectively, “Awards,” each, a “Restricted Common Share”). The maximum number of Awards to be issued under the 2020 Plan is 10,031 and a total of 9,994 Awards were granted. No additional Awards were granted under the 2020 Plan after the adoption of the 2021 Plan, as further described below. The final tranche of 617 Restricted Common Shares vested during 2023 and, thereafter, there are no unvested Awards and no remaining unrecognized compensation cost associated with the Awards. The Awards generally vested over two or three years and the estimated fair value of the Awards at issuance was recognized as compensation expense over the related vesting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appreciation rights (“SAR Awards”), stock options, restricted stock, restricted stock units (“RSUs”), and other stock-based awards (collectively the “2021 Plan Awards”), as further described below. Any 2021 Plan Awards that expire or are forfeited may be re-issued. The estimated fair value of the 2021 Plan Awards at issuance is recognized as compensation expense over the related vesting, exercise, or service periods, as applicable.</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December 31, 2025, there were 5,348 shares of Class A common stock available for grant for future equity-based compensation awards under the Amended 2021 Plan. Activity related to awards issued under the Amended 2021 Plan is further described below.</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SAR Awards provide the holder a right to receive upon exercise the excess of (i) the fair market value of one share of common stock on the date of exercise over (ii) the grant price of the SAR Awards as specified, which price shall not be less than the closing market value of one share of common stock on the date of grant, except in certain circumstances. The grant price, term, methods of exercise, dates of exercise, methods of settlement, and any other terms and conditions of any SAR Awards are determined at issuance. We determine the fair value of SAR Awards on the grant date using an option pricing model. As of December 31, 2025, no SAR Awards have been granted.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Stock option grants provide for an exercise price as determined at issuance, but not less than the closing market value of the Company’s Class A common stock on the date of grant, except in certain circumstances. The term and exercise provisions of each option are determined at issuance and the term is not to exceed 10 years. The exercise price for any options that are considered incentive stock options shall not be less than the closing market value of the Company’s Class A common stock on the date of grant; however, if granted to a participant who owns stock possessing more than 10% of the total combined voting power of all classes of the Company’s stock, the exercise price shall not be less than 110% of the closing market value on the date of grant. We determine the fair value of stock options on the grant date using an option 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2025,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1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1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 xml:space="preserve">Life </w:t>
            </w:r>
            <w:r>
              <w:rPr>
                <w:rFonts w:ascii="Times New Roman" w:cs="Times New Roman" w:eastAsia="Times New Roman" w:hAnsi="Times New Roman"/>
                <w:sz w:val="18"/>
                <w:szCs w:val="18"/>
                <w:b w:val="1"/>
                <w:bCs w:val="1"/>
                <w:i w:val="1"/>
                <w:iCs w:val="1"/>
                <w:color w:val="auto"/>
                <w:w w:val="99"/>
              </w:rPr>
              <w:t>(years)</w:t>
            </w:r>
          </w:p>
        </w:tc>
        <w:tc>
          <w:tcPr>
            <w:tcW w:w="340" w:type="dxa"/>
            <w:vAlign w:val="bottom"/>
          </w:tcPr>
          <w:p>
            <w:pPr>
              <w:spacing w:after="0"/>
              <w:rPr>
                <w:sz w:val="16"/>
                <w:szCs w:val="16"/>
                <w:color w:val="auto"/>
              </w:rPr>
            </w:pPr>
          </w:p>
        </w:tc>
        <w:tc>
          <w:tcPr>
            <w:tcW w:w="1360" w:type="dxa"/>
            <w:vAlign w:val="bottom"/>
          </w:tcPr>
          <w:p>
            <w:pPr>
              <w:jc w:val="right"/>
              <w:ind w:right="472"/>
              <w:spacing w:after="0" w:line="169" w:lineRule="exact"/>
              <w:rPr>
                <w:sz w:val="20"/>
                <w:szCs w:val="20"/>
                <w:color w:val="auto"/>
              </w:rPr>
            </w:pPr>
            <w:r>
              <w:rPr>
                <w:rFonts w:ascii="Times New Roman" w:cs="Times New Roman" w:eastAsia="Times New Roman" w:hAnsi="Times New Roman"/>
                <w:sz w:val="15"/>
                <w:szCs w:val="15"/>
                <w:b w:val="1"/>
                <w:bCs w:val="1"/>
                <w:color w:val="auto"/>
              </w:rPr>
              <w:t>Value</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Exercisable at December 31,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$842 as of December 31, 2025, which is expected to be recognized over a weighted-average remaining period of 1.2 years.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 the fair value of stock options on the grant date using a Black-Scholes option pricing model. No options were granted during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stock options granted during 2025 and 2023 was calculated on the date of grant using the following weighted-average assumptions:</w:t>
      </w:r>
    </w:p>
    <w:p>
      <w:pPr>
        <w:spacing w:after="0" w:line="135"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fair value of stock options granted during 2025 and 2023 was $0.13 and $0.44, respectively,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Restricted Stock Awards (“RSAs”) represent fully issued shares of common stock that may not be sold or otherwise transferred for a period of time and are subject to forfeiture in certain circumstances. The fair value of RSAs is based on the closing price of the common stock on the grant date. RSUs entitle the grantee to receive shares of our common stock (or a cash payment equal to the market value of a share) as the units vest. The vesting period, generally a period of two to four years, is determined at issuance, and may be conditioned on the grantee’s completion of a specified period of service with the Company, or upon the achievement of one or more performance goals, or upon any combination of service-based and performance-based conditions. The fair value of the RSUs is based on the closing price of the common stock on the grant date and forfeitures are recognized when they occur.</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RSAs and RSUs may be credited with dividends or dividend equivalents, which entitle the grantee to receive payments (in cash, shares, other securities, other awards, or other property, as determined by the Company) equivalent to the amount of cash dividends paid by the Company, as applicable. Any dividend and dividend equivalents may be accrued but not paid to the grantee until all conditions or restrictions on the related RSAs or RSUs have been satisfied, waived, or lapsed. No RSAs have been granted as of December 31, 2025.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during 2025, 2024, and 2023:</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72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03"/>
        </w:trPr>
        <w:tc>
          <w:tcPr>
            <w:tcW w:w="7280" w:type="dxa"/>
            <w:vAlign w:val="bottom"/>
          </w:tcPr>
          <w:p>
            <w:pPr>
              <w:spacing w:after="0"/>
              <w:rPr>
                <w:sz w:val="17"/>
                <w:szCs w:val="17"/>
                <w:color w:val="auto"/>
              </w:rPr>
            </w:pPr>
          </w:p>
        </w:tc>
        <w:tc>
          <w:tcPr>
            <w:tcW w:w="20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9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16"/>
        </w:trPr>
        <w:tc>
          <w:tcPr>
            <w:tcW w:w="7280" w:type="dxa"/>
            <w:vAlign w:val="bottom"/>
          </w:tcPr>
          <w:p>
            <w:pPr>
              <w:spacing w:after="0"/>
              <w:rPr>
                <w:sz w:val="18"/>
                <w:szCs w:val="18"/>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2022</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89" w:lineRule="exact"/>
        <w:rPr>
          <w:sz w:val="20"/>
          <w:szCs w:val="20"/>
          <w:color w:val="auto"/>
        </w:rPr>
      </w:pPr>
    </w:p>
    <w:p>
      <w:pPr>
        <w:ind w:left="340" w:right="560" w:hanging="332"/>
        <w:spacing w:after="0" w:line="225" w:lineRule="auto"/>
        <w:tabs>
          <w:tab w:leader="none" w:pos="328"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926, 4,683, and 1,402, shares that vested during 2025, 2024, and 2023, respectively, that were withheld to cover tax obligations and were subsequently cancelled.</w:t>
      </w:r>
    </w:p>
    <w:p>
      <w:pPr>
        <w:spacing w:after="0" w:line="13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the RSUs was $1,814, which is expected to be recognized over a weighted-average remaining period of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Awards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2023, the Company’s board of directors approved the grant of 4,000 RSUs outside of the Company’s Amended 2021 Plan (the “August 2023 Grant”). The August 2023 Grant was issued pursuant to an employment agreement and were to vest upon the later of the second anniversary of employment and the achievement of certain stock price targets. Continued service to the Company was required as of the date that the conditions were satisfied. The August 2023 Grant was forfeited in August 2024 following the cessation of the associated service to the Company and $638 of associated equity-based compensation expense was reversed during 2024.</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2024, the Company’s board of directors approved a performance-based award of 3,000 RSUs pursuant to an employment agreement (the “August 2024 Grant”). The August 2024 Grant was approved by the board of directors but has not been formally granted as of December 31, 2025 or as of the date of filing of this Annual Report, and no shares have been issued in respect thereof. These awards, once granted, will be subject to certain vesting conditions, including the achievement of certain stock price targets and continued service to the Company. No equity-based compensation expense has been recognized with respect to the August 2024 Grant as of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 by Type of Award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equity-based compensation expense by type of award during 2025,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Shares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equity-based compensation expense</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hanging="332"/>
        <w:spacing w:after="0" w:line="231" w:lineRule="auto"/>
        <w:tabs>
          <w:tab w:leader="none" w:pos="328"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2023 expense amount includes $2,838 related to 2023 annual performance bonuses, which were subsequently issued in 2024 and were fully vested at issuance with a value of $3,304, with the difference reflected as a change in estimate that is included within “General and administrative expenses” on the Consolidated Statements of Operations for 2024.</w:t>
      </w:r>
    </w:p>
    <w:p>
      <w:pPr>
        <w:spacing w:after="0" w:line="1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 the total equity-based compensation expense, $1,295, $7,793, and $7,943 was capitalized to inventory during 2025, 2024, and 2023 respectively. As of December 31, 2025 and 2024, $1,451 and $2,102, respectively, remained capitalized in inventory. During 2025, 2024, and 2023 we recognized $1,151, $10,821, and $11,833, respectively, within “General and administrative expenses” on the Consolidated Statements of Operations and we recognized $1,946, $7,659, and $6,511, respectively, within “Cost of goods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components of 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7"/>
                <w:szCs w:val="17"/>
                <w:color w:val="auto"/>
              </w:rPr>
            </w:pPr>
          </w:p>
        </w:tc>
        <w:tc>
          <w:tcPr>
            <w:tcW w:w="1460" w:type="dxa"/>
            <w:vAlign w:val="bottom"/>
          </w:tcPr>
          <w:p>
            <w:pPr>
              <w:jc w:val="right"/>
              <w:ind w:right="67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71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4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taxes:</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56,094</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55,297</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43,143</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51,378</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45,172</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IRC Section 280E, under which such companies are only allowed to deduct expenses directly related to the sales of product (cost of goods sold).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Effective during 2023, Illinois and New Jersey, two states in which the Company has significant operations, began permitting cannabis businesses to deduct ordinary and necessary business expenses from gross profit for state tax purposes. For 2025, 2024, and 2023, state and local income taxes in Illinois, Maryland, Massachusetts, and New Jersey comprise the majority of the Company’s state and local income taxes.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reconciliation of income tax at the federal statutory rate to recorded 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620" w:type="dxa"/>
            <w:vAlign w:val="bottom"/>
          </w:tcPr>
          <w:p>
            <w:pPr>
              <w:spacing w:after="0"/>
              <w:rPr>
                <w:sz w:val="17"/>
                <w:szCs w:val="17"/>
                <w:color w:val="auto"/>
              </w:rPr>
            </w:pPr>
          </w:p>
        </w:tc>
        <w:tc>
          <w:tcPr>
            <w:tcW w:w="2220" w:type="dxa"/>
            <w:vAlign w:val="bottom"/>
            <w:gridSpan w:val="2"/>
          </w:tcPr>
          <w:p>
            <w:pPr>
              <w:jc w:val="center"/>
              <w:ind w:left="150"/>
              <w:spacing w:after="0" w:line="198"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860" w:type="dxa"/>
            <w:vAlign w:val="bottom"/>
          </w:tcPr>
          <w:p>
            <w:pPr>
              <w:spacing w:after="0"/>
              <w:rPr>
                <w:sz w:val="17"/>
                <w:szCs w:val="17"/>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65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(66,815)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Statutory Rate</w:t>
            </w:r>
          </w:p>
        </w:tc>
        <w:tc>
          <w:tcPr>
            <w:tcW w:w="6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based on Statutory Rate</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(14,031)</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(recovery) resulting from:</w:t>
            </w:r>
          </w:p>
        </w:tc>
        <w:tc>
          <w:tcPr>
            <w:tcW w:w="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6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(3,442)</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20" w:type="dxa"/>
            <w:vAlign w:val="bottom"/>
          </w:tcPr>
          <w:p>
            <w:pPr>
              <w:spacing w:after="0"/>
              <w:rPr>
                <w:sz w:val="21"/>
                <w:szCs w:val="21"/>
                <w:color w:val="auto"/>
              </w:rPr>
            </w:pPr>
          </w:p>
        </w:tc>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62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3,931</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Uncertain tax position, inclusive of interest and penalties</w:t>
            </w:r>
          </w:p>
        </w:tc>
        <w:tc>
          <w:tcPr>
            <w:tcW w:w="6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62,138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3"/>
        </w:trPr>
        <w:tc>
          <w:tcPr>
            <w:tcW w:w="20" w:type="dxa"/>
            <w:vAlign w:val="bottom"/>
          </w:tcPr>
          <w:p>
            <w:pPr>
              <w:spacing w:after="0"/>
              <w:rPr>
                <w:sz w:val="21"/>
                <w:szCs w:val="21"/>
                <w:color w:val="auto"/>
              </w:rPr>
            </w:pPr>
          </w:p>
        </w:tc>
        <w:tc>
          <w:tcPr>
            <w:tcW w:w="7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Equity-based compensation shortfall</w:t>
            </w:r>
          </w:p>
        </w:tc>
        <w:tc>
          <w:tcPr>
            <w:tcW w:w="62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6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20" w:type="dxa"/>
            <w:vAlign w:val="bottom"/>
          </w:tcPr>
          <w:p>
            <w:pPr>
              <w:spacing w:after="0"/>
              <w:rPr>
                <w:sz w:val="21"/>
                <w:szCs w:val="21"/>
                <w:color w:val="auto"/>
              </w:rPr>
            </w:pPr>
          </w:p>
        </w:tc>
        <w:tc>
          <w:tcPr>
            <w:tcW w:w="7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827</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51,378</w:t>
            </w:r>
          </w:p>
        </w:tc>
        <w:tc>
          <w:tcPr>
            <w:tcW w:w="3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previously disclosed for 2024 and 2023, prior to the adoption of ASU 2023-09, the following table sets forth a reconciliation of income tax at the federal statutory rate to recorded income tax expense:</w:t>
      </w:r>
    </w:p>
    <w:p>
      <w:pPr>
        <w:spacing w:after="0" w:line="15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36830</wp:posOffset>
            </wp:positionV>
            <wp:extent cx="26485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80" w:type="dxa"/>
            <w:vAlign w:val="bottom"/>
          </w:tcPr>
          <w:p>
            <w:pPr>
              <w:spacing w:after="0"/>
              <w:rPr>
                <w:sz w:val="17"/>
                <w:szCs w:val="17"/>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6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(39,822)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(14,760)</w:t>
            </w:r>
          </w:p>
        </w:tc>
      </w:tr>
      <w:tr>
        <w:trPr>
          <w:trHeight w:val="243"/>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Statutory Rate</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based on Statutory Rate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(3,100)</w:t>
            </w:r>
          </w:p>
        </w:tc>
      </w:tr>
      <w:tr>
        <w:trPr>
          <w:trHeight w:val="243"/>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(recovery) resulting from:</w:t>
            </w: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(1,773)</w:t>
            </w:r>
          </w:p>
        </w:tc>
      </w:tr>
      <w:tr>
        <w:trPr>
          <w:trHeight w:val="243"/>
        </w:trPr>
        <w:tc>
          <w:tcPr>
            <w:tcW w:w="20" w:type="dxa"/>
            <w:vAlign w:val="bottom"/>
          </w:tcPr>
          <w:p>
            <w:pPr>
              <w:spacing w:after="0"/>
              <w:rPr>
                <w:sz w:val="21"/>
                <w:szCs w:val="21"/>
                <w:color w:val="auto"/>
              </w:rPr>
            </w:pPr>
          </w:p>
        </w:tc>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Uncertain tax position, inclusive of interest and penalties</w:t>
            </w:r>
          </w:p>
        </w:tc>
        <w:tc>
          <w:tcPr>
            <w:tcW w:w="4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40,149</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(Refundable) nondeductible penalties and interest</w:t>
            </w:r>
          </w:p>
        </w:tc>
        <w:tc>
          <w:tcPr>
            <w:tcW w:w="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(658)</w:t>
            </w:r>
          </w:p>
        </w:tc>
      </w:tr>
      <w:tr>
        <w:trPr>
          <w:trHeight w:val="243"/>
        </w:trPr>
        <w:tc>
          <w:tcPr>
            <w:tcW w:w="20" w:type="dxa"/>
            <w:vAlign w:val="bottom"/>
          </w:tcPr>
          <w:p>
            <w:pPr>
              <w:spacing w:after="0"/>
              <w:rPr>
                <w:sz w:val="21"/>
                <w:szCs w:val="21"/>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Equity-based compensation shortfall</w:t>
            </w:r>
          </w:p>
        </w:tc>
        <w:tc>
          <w:tcPr>
            <w:tcW w:w="4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1,322</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adjustments</w:t>
            </w:r>
          </w:p>
        </w:tc>
        <w:tc>
          <w:tcPr>
            <w:tcW w:w="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(3,150)</w:t>
            </w:r>
          </w:p>
        </w:tc>
      </w:tr>
      <w:tr>
        <w:trPr>
          <w:trHeight w:val="243"/>
        </w:trPr>
        <w:tc>
          <w:tcPr>
            <w:tcW w:w="20" w:type="dxa"/>
            <w:vAlign w:val="bottom"/>
          </w:tcPr>
          <w:p>
            <w:pPr>
              <w:spacing w:after="0"/>
              <w:rPr>
                <w:sz w:val="21"/>
                <w:szCs w:val="21"/>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20" w:type="dxa"/>
            <w:vAlign w:val="bottom"/>
          </w:tcPr>
          <w:p>
            <w:pPr>
              <w:spacing w:after="0"/>
              <w:rPr>
                <w:sz w:val="21"/>
                <w:szCs w:val="21"/>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Pr>
          <w:p>
            <w:pPr>
              <w:spacing w:after="0"/>
              <w:rPr>
                <w:sz w:val="21"/>
                <w:szCs w:val="21"/>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45,172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income taxes paid (net of refunds received), subsequent to the adoption of ASU 2023-09: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198"/>
        </w:trPr>
        <w:tc>
          <w:tcPr>
            <w:tcW w:w="20" w:type="dxa"/>
            <w:vAlign w:val="bottom"/>
          </w:tcPr>
          <w:p>
            <w:pPr>
              <w:spacing w:after="0"/>
              <w:rPr>
                <w:sz w:val="17"/>
                <w:szCs w:val="17"/>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7"/>
                <w:szCs w:val="17"/>
                <w:color w:val="auto"/>
              </w:rPr>
            </w:pPr>
          </w:p>
        </w:tc>
        <w:tc>
          <w:tcPr>
            <w:tcW w:w="192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8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state and local</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taxes paid, net of refunds received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components of deferred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7"/>
                <w:szCs w:val="17"/>
                <w:color w:val="auto"/>
              </w:rPr>
            </w:pPr>
          </w:p>
        </w:tc>
        <w:tc>
          <w:tcPr>
            <w:tcW w:w="1480" w:type="dxa"/>
            <w:vAlign w:val="bottom"/>
          </w:tcPr>
          <w:p>
            <w:pPr>
              <w:jc w:val="right"/>
              <w:ind w:right="71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ind w:right="69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4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attributable to:</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 net operating loss carryforwards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67,439</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program</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37"/>
        </w:trPr>
        <w:tc>
          <w:tcPr>
            <w:tcW w:w="2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82,861</w:t>
            </w: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77,439</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81,058</w:t>
            </w:r>
          </w:p>
        </w:tc>
        <w:tc>
          <w:tcPr>
            <w:tcW w:w="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77,439</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liabilities attributable to:</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acquired intangible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(46,620)</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(24,969)</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(35,107)</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(29,289)</w:t>
            </w:r>
          </w:p>
        </w:tc>
      </w:tr>
      <w:tr>
        <w:trPr>
          <w:trHeight w:val="237"/>
        </w:trPr>
        <w:tc>
          <w:tcPr>
            <w:tcW w:w="2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(102,573)</w:t>
            </w:r>
          </w:p>
        </w:tc>
        <w:tc>
          <w:tcPr>
            <w:tcW w:w="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(100,878)</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(21,515)</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(23,439)</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more-likely-than-not that some portion, or all, of its deferred tax assets will not be realized and reflects a valuation allowance to the extent that the full benefit may not be realized in the applicable jurisdictions based on estimates of future taxable income. In 2025, the Company reflected a valuation allowance of $1,803 primarily attributable to various states’ net operating loss and credit carryforwards related to limitations on business interest expense carryover amounts.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gross state and local net operating loss carryforwards totaling $44,774, which begin to expire in 2026, and federal net operating loss carryforwards totaling $329. The Company files income tax returns in the United States and various state and local jurisdictions, which jurisdictions have varying statutes of limitations. The U.S. federal statute of limitations remains open for tax years 2020 and forward. The state and local statutes of limitations generally remain open for tax years 2020 and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operates in a number of domestic tax jurisdictions and is subject to examination of its income tax returns by tax authorities in these jurisdictions who may challenge any item of those returns. Because tax matters that may be challenged by tax authorities are typically complex, the ultimate outcome of these challenges is uncertain. The Company accounts for uncertain tax positions by recognizing the financial statement effects of a tax position only when, based upon technical merits, it is more-likely-than-not that the position will be sustained upon examination. The Company evaluates uncertain tax positions on a quarterly basis and adjusts the level of the liability to reflect any subsequent changes in the relevant facts surrounding the uncertain positions. The measurement of the uncertain tax position is based on the largest benefit amount to be realized upon settlement of the matter. If payment ultimately proves to be unnecessary, then the reversal of the liabilities would result in tax benefits being recognized in the period when the Company determines the liabilities are no longer necessary. If the Company’s estimate of tax liabilities proves to be less than the ultimate assessment, then a further charge to income tax expense may result. The Company has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a reconciliation of the beginning and ending amount of unrecognized tax benefits: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9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35,367</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w:t>
            </w:r>
          </w:p>
        </w:tc>
      </w:tr>
      <w:tr>
        <w:trPr>
          <w:trHeight w:val="223"/>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72,955</w:t>
            </w: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38,289</w:t>
            </w:r>
          </w:p>
        </w:tc>
      </w:tr>
      <w:tr>
        <w:trPr>
          <w:trHeight w:val="229"/>
        </w:trPr>
        <w:tc>
          <w:tcPr>
            <w:tcW w:w="90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Additions for tax positions related to prior years</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38,163</w:t>
            </w: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149,407</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36,728</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17,749</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203,884</w:t>
            </w:r>
          </w:p>
        </w:tc>
      </w:tr>
      <w:tr>
        <w:trPr>
          <w:trHeight w:val="20"/>
        </w:trPr>
        <w:tc>
          <w:tcPr>
            <w:tcW w:w="9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approximately $27,000 of IRC Section 280E refunds received during 2024.</w:t>
      </w:r>
    </w:p>
    <w:p>
      <w:pPr>
        <w:spacing w:after="0" w:line="13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total of $39,300 of interest and penalties is accrued for the uncertain tax positions as of December 31, 2025, which includes $19,132 related to the current year and $20,168 for the prior years. Of the $20,168 of interest and penalties accrued as of December 31, 2024, $14,744 was related to that year and $5,424 related to prior years. The Company has been selected for examination of its amended tax returns filed with these unrecognized tax benefits but does not currently anticipate its unrecognized tax benefits to be resolved within the next twelve months and anticipates that the total amount of unrecognized tax benefits may change within the next twelve months for additional uncertain tax positions taken on a go-forward basis. If favorably resolved, then the unrecognized tax benefits would decrease the Company’s effective tax rate.</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2025, the U.S. government enacted a reconciliation bill, commonly referred to as the One Big Beautiful Bill Act (the “Act”), with certain provisions of the Act effective in 2025 and other provisions becoming effective in 2026 and beyond. Among the various provisions contained in the Act, modifications to Section 163(j) interest expense limitations are expected to favorably impact the Company’s state tax calculations. We reflected a discrete tax event during the year ended December 31, 2025 which resulted in a $887 reduction to our uncertain tax position. Additionally, our deferred tax liabilities increased by $1,153 resulting from state decoupling considerations. The net impact to the effective tax rate was not material. The Company continues to evaluate the impact of the various provisions of the Act, but does not expect the other provisions will have a material impact on its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7520" w:firstLine="8"/>
        <w:spacing w:after="0" w:line="440"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future annual commitments, other than related to leases and debt, which are disclosed in Notes 10 and 11, respectively. The Company has commercial relationships with license holders across the markets in which it operates with mutually beneficial purchasing and supply arrangements entered into in the ordinary course of business.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2025, the Company entered into a definitive agreement pursuant to which the Company proposes to exchange its Ohio cultivation license and facility and related assets (the “Ohio Cultivation Assets”) for an entity that anticipates obtaining an adult-use license in New Jersey and $1,000 of cash consideration. Pursuant to this definitive agreement, the Company also proposes to acquire an entity in Ohio that owns and operates a dispensary in Ohio in exchange for a conditional dispensary license that the Company expects to receive, plus an additional $1,000 of cash consideration. This transaction is subject to certain closing conditions, including regulatory approvals. The Ohio Cultivation Assets were being contemplated for sale in this specific transaction with this specific buyer and the Company determined the Ohio Cultivation Assets do not meet the criteria to be classified as held-for-sale as of December 31, 2025. The total of the Ohio Cultivation Assets was approximately $8,500 as of December 31, 2025, including $3,700 of intangible assets, net, $3,000 of goodwill, $1,300 of inventory, and $300 of property and equipment, net.</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Through the acquisition of Story of PA CR, LLC (“Story of PA”) in April 2022, the Company is party to a research collaboration agreement with the Geisinger Commonwealth School of Medicine (“Geisinger”), a Pennsylvania Department of Health-Certified Medical Marijuana Academic Clinical Research Center, pursuant to which the Company will help fund clinical research to benefit the patients of Pennsylvania. A total of up to $10,000 of additional funding may be provided pursuant to the research collaboration agreement and is expected to be funded over the course of the ten years following the transaction date based on a percentage of annual revenues associated with the underlying operations. A payment of $819 was remitted during 2025, which is included within “Payment of contingent consideration” on the Consolidated Statements of Cash Flows and was included within “Accounts payable and accrued liabilities” on the Consolidated Balance Sheets at December 31, 2024. As of December 31, 2025, $2,945 is included within “Accounts payable and accrued liabilities” on the Consolidated Balance Sheet and $6,236 and $9,200 is included within “Other non-current liabilities” as of December 31, 2025 and 2024,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party to a variety of agreements under which we may be obligated to indemnify the other party for certain matters. These agreements are primarily standard indemnification arrangements entered into in the ordinary course of business. Pursuant to these arrangements, we may agree to indemnify, defend, hold harmless, and reimburse the indemnified parties for losses incurred in connection with certain claims. In addition, the Company has entered into indemnification agreements with members of its board of directors and senior management team pursuant to which the Company has agreed to indemnify them against certain liabilities that may arise by reason of their status or service as directors or officers of the Company. In some circumstances, these indemnification obligations may be subject to contractual limitations or exclusions and may be covered, in whole, or in part, by insurance. The maximum potential amount of future payments the Company could be required to make under these indemnification agreements is generally not determinable. The Company has not incurred any material costs or made any material payments pursuant to these indemnification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Other Matters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December 31, 2025 in all material respects, cannabis regulations continue to evolve and are subject to differing interpretations, and accordingly, the Company may be subject to regulatory fines, penalties, or restrictions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December 31, 2025 there were no pending or threatened lawsuits that could reasonably be expected to have a material effect on our consolidated results of operations, other than as disclosed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 Thumb Industries Arbitration Matter</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31, 2024, Green Thumb Industries Inc. and TWD18, LLC (collectively, “GTI”) initiated an arbitration proceeding before JAMS, a private alternative dispute resolution provider (“JAMS”), against the Company and Ascend Group Partners, LLC relating to a June 4, 2018 side letter agreement (the “Side Letter”). The arbitration concerned certain contractual obligations and payment terms under the Side Letter arising out of prior commercial arrangements between the parties. GTI asserted claims for breach of contract and related causes of action and sought monetary damages and related relief. The Company denied the allegations and asserted counterclaims against GTI.</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December 8, 2025 through December 12, 2025, a five-day evidentiary hearing was conducted before the arbitrator. On February 5, 2026, the arbitrator issued an award (the “Award”) determining that GTI had established approximately $22,116 of damages on its breach-of-contract claim and that the Company had established approximately $2,363 of damages on one of its counterclaims, resulting in a net award in favor of GTI of approximately $19,753.</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issuance of the Award, management, in consultation with outside legal counsel and other expert external advisors and based on the advice, guidance, and analyses provided to management at the time, evaluated the arbitration matter in accordance with applicable accounting guidance for loss contingencies. Based on that assessment, management concluded that a loss was not probable and that an estimate of potential loss was not reasonably determinable, and further believed based on that assessment that it was more probable than not that the matter would result in a net award to the Company. Accordingly, no accrual was recorded in the Company’s consolidated financial statements prior to December 31, 2025.</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11, 2026, the Company entered into a settlement agreement with GTI (the “Settlement Agreement”) pursuant to which the parties agreed to resolve the arbitration and satisfy the Award in exchange for a negotiated payment amount of $17,000. The Company paid the agreed settlement amount on February 12, 2026, and the arbitration award has been fully satisfied. The Settlement Agreement resolves all claims asserted in the arbitration proceeding and does not affect the Company’s other commercial relationships with GTI. The Company does not expect the Settlement Agreement to result in a material disruption to its ongoing operations.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a settlement expense of $17,000, which is reflected within “Settlement expense” on the Consolidated Statements of Operations for 2025 and is included within “Accounts payable and accrued liabilities” on the accompanying Consolidated Balance Sheet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of Ohio Complaint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6, 2026, the Attorney General of the State of Ohio filed a complaint against the Company and eight other multi-state operators (“MSOs”) in the cannabis industry with operations in Ohio, alleging anticompetitive collusion among the MSOs to exclude single state operators based in Ohio from the cannabis market. The Company denies the claims with respect to the Company and plans to vigorously contest the case.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and other capital expenditure advances paid to MMNY by the Company.</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 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designated April 25, 2024 as the deadline for MedMen to obtain new counsel, which did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 confirming the appointment of a receiver for MM CAN USA, Inc. The receiver has submitted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 On August 6, 2025, the Company filed a motion for a default judgment against MedMen seeking $10,300 for the prior deposit and working capital advances. MedMen did not oppose. On September 5, 2025, the Court entered default judgment in favor of Ascend, awarding $10,300 to Ascend for its deposit and working capital advance. The Company is considering its options to collect on this unsecured judgment.</w:t>
      </w:r>
    </w:p>
    <w:p>
      <w:pPr>
        <w:spacing w:after="0" w:line="13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Company’s decision to no longer consummate the contemplated transactions during 2022, the Company expensed certain capitalized expenditures and deposits incurred for certain locations and established an estimated reserve of $3,700 related to amounts that it had been actively pursuing collecting. During 2024, the Company increased the estimated reserve by $5,447, which is included within “General and administrative expenses” on the Consolidated Statements of Operations and within “Other” on the Consolidated Statements of Cash Flows. The total reserve as of each December 31, 2025 and 2024 is reflective of all outstanding balances and, of which, $2,422 is included within “Notes receivable” on the Consolidated Balance Sheet, $6,695 is included within “Other current assets,” and the remainder is included within “Other non-current assets.”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Settlement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2021, the Company, through a subsidiary, entered into a settlement agreement regarding a dispute related to a purchase agreement for the Company’s potential acquisition of certain real estate properties in Michigan. As part of that settlement, the Company issued historical equity units to the settlement parties, to be held in the name of an escrow agent (the “Escrow Units”). The Escrow units were fully issued and outstanding as of the settlement date and were to remain in the escrow account until such time as the settlement parties exercised an option to hold the Escrow Units directly (the “Put Option”), which could be exercised for three years. In February 2024, the TVP Parties notified the Company that they were exercising the Put Option and the transfer was completed in May 2024, at which time the Escrow Units were released to the settlement parties and the settlement parties transferred to the Company the equity interests of the entities that hold the three real estate properties. The underlying properties were determined to have a total fair value of $5,400 as of the settlement date, which was included within “Other non-current assets” and was reclassified to “Property and equipment, net” as of the transfer date. Prior to the completion of the transfer, the Company operated dispensaries at these locations pursuant to lease agreements, which operations continue at the now-owned properties.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related party transactions during 2025, 2024, and 2023, other than as disclosed in Note 6, “Notes Receivable,” and Note 12,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other current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deposits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86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accounts payable and accrued liabilities: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 purchases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84,793</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59,435</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general and administrative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74,688</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filing date of this Annual Report on Form 10-K require adjustment to or disclosure in the Company’s Financial Statements. There were no events that require adjustment to or disclosure in the Financial Statements, except as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our Principal Executive Officer and Principal Financial Officer evaluated our disclosure controls and procedures, as such term is defined in Rule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w:t>
      </w:r>
    </w:p>
    <w:p>
      <w:pPr>
        <w:spacing w:after="0" w:line="1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the preparation and integrity of the consolidated financial statements and representations in this report on Form 10-K. The consolidated financial statements of the Company have been prepared in conformity with generally accepted accounting principles applied on a consistent basis and include some amounts that are based on informed judgments and best estimates and assumptions of management.</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assure the consolidated financial statements are prepared in conformance with generally accepted accounting principles, management is responsible for establishing and maintaining adequate internal control over financial reporting, as such term is defined in Exchange Act Rule 13a-15(f). These internal controls are designed only to provide reasonable assurance, on a cost-effective basis, that transactions are carried out in accordance with management’s authorizations and assets are safeguarded against loss from unauthorized use or disposition.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has completed its assessment of the effectiveness of the Company’s internal control over financial reporting as of December 31, 2025. In making this assessment, management used the criteria set forth by the Committee of Sponsoring Organizations of the Treadway Commission in Internal Control - Integrated Framework (2013) to conduct the required assessment of the effectiveness of the Company’s internal control over financial reporting. Based on this assessment, management concluded that, as of December 31, 2025, the Company’s internal control over financial reporting was effective based on those criteria.</w:t>
      </w:r>
    </w:p>
    <w:p>
      <w:pPr>
        <w:spacing w:after="0" w:line="125"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registered independent public accounting firm regarding internal control over financial reporting. Management’s report was not subject to attestation by the Company’s registered independent public accounting firm as the Company qualifies as an “emerging growth company” under the Jumpstart Our Business Start-ups Act of 2012.</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fiscal year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Trading Plans of Directors and Executive Officers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10, 2025, the Company and Abner Kurtin entered into an amended and restated employment agreement (the “Kurtin Employment Agreement”), effective March 31, 2025. Pursuant to the Kurtin Employment Agreement, Mr. Kurtin serves as the Company’s Executive Chairman. Mr. Kurtin does not receive any additional compensation for his service as a member of the Board.</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10, 2026, the Company and Mr. Kurtin entered into Amendment No. 1 to the Kurtin Employment Agreement (“Amendment No. 1”), which extended the term of the Kurtin Employment Agreement through March 31, 2027 and modified Mr. Kurtin’s compensation. Under Amendment No. 1, Mr. Kurtin will receive an annual base salary of $175,000 and will be granted a restricted stock unit award with a grant-date value of $175,000, which vests in quarterly increments over one year from the grant date, subject to the terms of the Company’s 2021 Stock Incentive Plan and the applicable award agreement. Amendment No. 1 also provides for a one-time cash payment of $70,000.</w:t>
      </w:r>
    </w:p>
    <w:p>
      <w:pPr>
        <w:spacing w:after="0" w:line="1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Kurtin Employment Agreement is subject to and qualified in its entirety by reference to the full text of the Kurtin Employment Agreement and Amendment No. 1 thereto, which are filed as exhibits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is incorporated herein by reference.</w:t>
      </w:r>
    </w:p>
    <w:p>
      <w:pPr>
        <w:spacing w:after="0" w:line="10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tc>
        <w:tc>
          <w:tcPr>
            <w:tcW w:w="4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r>
      <w:tr>
        <w:trPr>
          <w:trHeight w:val="229"/>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7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0000FF"/>
                <w:w w:val="99"/>
              </w:rPr>
              <w:t>97</w:t>
            </w:r>
          </w:p>
        </w:tc>
        <w:tc>
          <w:tcPr>
            <w:tcW w:w="480" w:type="dxa"/>
            <w:vAlign w:val="bottom"/>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29"/>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0000FF"/>
                <w:w w:val="99"/>
              </w:rPr>
              <w:t>98</w:t>
            </w:r>
          </w:p>
        </w:tc>
        <w:tc>
          <w:tcPr>
            <w:tcW w:w="480" w:type="dxa"/>
            <w:vAlign w:val="bottom"/>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9"/>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520" w:type="dxa"/>
            <w:vAlign w:val="bottom"/>
            <w:gridSpan w:val="2"/>
            <w:shd w:val="clear" w:color="auto" w:fill="CCEEFF"/>
          </w:tcPr>
          <w:p>
            <w:pPr>
              <w:spacing w:after="0"/>
              <w:rPr>
                <w:sz w:val="19"/>
                <w:szCs w:val="19"/>
                <w:color w:val="auto"/>
              </w:rPr>
            </w:pPr>
          </w:p>
        </w:tc>
        <w:tc>
          <w:tcPr>
            <w:tcW w:w="2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FF"/>
                <w:w w:val="99"/>
              </w:rPr>
              <w:t>99</w:t>
            </w:r>
          </w:p>
        </w:tc>
        <w:tc>
          <w:tcPr>
            <w:tcW w:w="480" w:type="dxa"/>
            <w:vAlign w:val="bottom"/>
            <w:shd w:val="clear" w:color="auto" w:fill="CCEEFF"/>
          </w:tcPr>
          <w:p>
            <w:pPr>
              <w:spacing w:after="0"/>
              <w:rPr>
                <w:sz w:val="19"/>
                <w:szCs w:val="19"/>
                <w:color w:val="auto"/>
              </w:rPr>
            </w:pP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9"/>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2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103</w:t>
            </w: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0"/>
        </w:trPr>
        <w:tc>
          <w:tcPr>
            <w:tcW w:w="10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bl>
    <w:p>
      <w:pPr>
        <w:spacing w:after="0" w:line="5" w:lineRule="exact"/>
        <w:rPr>
          <w:sz w:val="20"/>
          <w:szCs w:val="20"/>
          <w:color w:val="auto"/>
        </w:rPr>
      </w:pPr>
    </w:p>
    <w:p>
      <w:pPr>
        <w:ind w:left="200" w:hanging="174"/>
        <w:spacing w:after="0"/>
        <w:tabs>
          <w:tab w:leader="none" w:pos="2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67" w:lineRule="exact"/>
        <w:rPr>
          <w:rFonts w:ascii="Times New Roman" w:cs="Times New Roman" w:eastAsia="Times New Roman" w:hAnsi="Times New Roman"/>
          <w:sz w:val="18"/>
          <w:szCs w:val="18"/>
          <w:b w:val="1"/>
          <w:bCs w:val="1"/>
          <w:color w:val="auto"/>
        </w:rPr>
      </w:pPr>
    </w:p>
    <w:p>
      <w:pPr>
        <w:ind w:left="180" w:right="1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schedules have been omitted because the required information is included in the consolidated financial statements and notes thereto or because they are not applicable or not required.</w:t>
      </w:r>
    </w:p>
    <w:p>
      <w:pPr>
        <w:spacing w:after="0" w:line="265" w:lineRule="exact"/>
        <w:rPr>
          <w:rFonts w:ascii="Times New Roman" w:cs="Times New Roman" w:eastAsia="Times New Roman" w:hAnsi="Times New Roman"/>
          <w:sz w:val="18"/>
          <w:szCs w:val="18"/>
          <w:b w:val="1"/>
          <w:bCs w:val="1"/>
          <w:color w:val="auto"/>
        </w:rPr>
      </w:pPr>
    </w:p>
    <w:p>
      <w:pPr>
        <w:ind w:left="200" w:hanging="174"/>
        <w:spacing w:after="0"/>
        <w:tabs>
          <w:tab w:leader="none" w:pos="2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3086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3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232"/>
        </w:trPr>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gridSpan w:val="3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20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020" w:type="dxa"/>
            <w:vAlign w:val="bottom"/>
            <w:tcBorders>
              <w:top w:val="single" w:sz="8" w:color="auto"/>
            </w:tcBorders>
            <w:gridSpan w:val="38"/>
            <w:shd w:val="clear" w:color="auto" w:fill="CCEEFF"/>
          </w:tcPr>
          <w:p>
            <w:pPr>
              <w:spacing w:after="0" w:line="172"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Form of Exchange Agreement</w:t>
              </w:r>
            </w:hyperlink>
          </w:p>
        </w:tc>
        <w:tc>
          <w:tcPr>
            <w:tcW w:w="6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S-1</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April 23, 2021</w:t>
            </w:r>
          </w:p>
        </w:tc>
        <w:tc>
          <w:tcPr>
            <w:tcW w:w="0" w:type="dxa"/>
            <w:vAlign w:val="bottom"/>
          </w:tcPr>
          <w:p>
            <w:pPr>
              <w:spacing w:after="0"/>
              <w:rPr>
                <w:sz w:val="1"/>
                <w:szCs w:val="1"/>
                <w:color w:val="auto"/>
              </w:rPr>
            </w:pPr>
          </w:p>
        </w:tc>
      </w:tr>
      <w:tr>
        <w:trPr>
          <w:trHeight w:val="237"/>
        </w:trPr>
        <w:tc>
          <w:tcPr>
            <w:tcW w:w="1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8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700" w:type="dxa"/>
            <w:vAlign w:val="bottom"/>
            <w:tcBorders>
              <w:top w:val="single" w:sz="8" w:color="0000FF"/>
            </w:tcBorders>
            <w:shd w:val="clear" w:color="auto" w:fill="CCEEFF"/>
          </w:tcPr>
          <w:p>
            <w:pPr>
              <w:spacing w:after="0"/>
              <w:rPr>
                <w:sz w:val="20"/>
                <w:szCs w:val="20"/>
                <w:color w:val="auto"/>
              </w:rPr>
            </w:pPr>
          </w:p>
        </w:tc>
        <w:tc>
          <w:tcPr>
            <w:tcW w:w="6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294967277"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5"/>
                <w:szCs w:val="15"/>
                <w:color w:val="auto"/>
              </w:rPr>
            </w:pPr>
          </w:p>
        </w:tc>
        <w:tc>
          <w:tcPr>
            <w:tcW w:w="4080" w:type="dxa"/>
            <w:vAlign w:val="bottom"/>
            <w:gridSpan w:val="39"/>
          </w:tcPr>
          <w:p>
            <w:pPr>
              <w:spacing w:after="0" w:line="175"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Certificate of Incorporation</w:t>
              </w:r>
            </w:hyperlink>
          </w:p>
        </w:tc>
        <w:tc>
          <w:tcPr>
            <w:tcW w:w="13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15"/>
                <w:szCs w:val="15"/>
                <w:color w:val="auto"/>
              </w:rPr>
            </w:pPr>
          </w:p>
        </w:tc>
        <w:tc>
          <w:tcPr>
            <w:tcW w:w="19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April 23, 2021</w:t>
            </w: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right w:val="single" w:sz="8" w:color="CCEEFF"/>
            </w:tcBorders>
            <w:shd w:val="clear" w:color="auto" w:fill="CCEEFF"/>
          </w:tcPr>
          <w:p>
            <w:pPr>
              <w:spacing w:after="0"/>
              <w:rPr>
                <w:sz w:val="15"/>
                <w:szCs w:val="15"/>
                <w:color w:val="auto"/>
              </w:rPr>
            </w:pPr>
          </w:p>
        </w:tc>
        <w:tc>
          <w:tcPr>
            <w:tcW w:w="40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Bylaws</w:t>
              </w:r>
            </w:hyperlink>
          </w:p>
        </w:tc>
        <w:tc>
          <w:tcPr>
            <w:tcW w:w="130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April 23, 2021</w:t>
            </w:r>
          </w:p>
        </w:tc>
        <w:tc>
          <w:tcPr>
            <w:tcW w:w="0" w:type="dxa"/>
            <w:vAlign w:val="bottom"/>
          </w:tcPr>
          <w:p>
            <w:pPr>
              <w:spacing w:after="0"/>
              <w:rPr>
                <w:sz w:val="1"/>
                <w:szCs w:val="1"/>
                <w:color w:val="auto"/>
              </w:rPr>
            </w:pPr>
          </w:p>
        </w:tc>
      </w:tr>
      <w:tr>
        <w:trPr>
          <w:trHeight w:val="237"/>
        </w:trPr>
        <w:tc>
          <w:tcPr>
            <w:tcW w:w="1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294967277"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4080" w:type="dxa"/>
            <w:vAlign w:val="bottom"/>
            <w:gridSpan w:val="39"/>
          </w:tcPr>
          <w:p>
            <w:pPr>
              <w:spacing w:after="0" w:line="175"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Ascend Wellness Holdings, Inc. 2021 Stock Incentive Plan</w:t>
              </w:r>
            </w:hyperlink>
          </w:p>
        </w:tc>
        <w:tc>
          <w:tcPr>
            <w:tcW w:w="13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8"/>
              </w:rPr>
              <w:t>S-8</w:t>
            </w: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333-257780</w:t>
            </w:r>
          </w:p>
        </w:tc>
        <w:tc>
          <w:tcPr>
            <w:tcW w:w="8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5"/>
                <w:szCs w:val="15"/>
                <w:color w:val="auto"/>
              </w:rPr>
            </w:pPr>
          </w:p>
        </w:tc>
        <w:tc>
          <w:tcPr>
            <w:tcW w:w="19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July 9, 2021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94967277"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20" w:type="dxa"/>
            <w:vAlign w:val="bottom"/>
            <w:tcBorders>
              <w:right w:val="single" w:sz="8" w:color="CCEEFF"/>
            </w:tcBorders>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40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First Amendment to the Ascend Wellness Holdings, Inc.</w:t>
              </w:r>
            </w:hyperlink>
          </w:p>
        </w:tc>
        <w:tc>
          <w:tcPr>
            <w:tcW w:w="130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9, 2023</w:t>
            </w:r>
          </w:p>
        </w:tc>
        <w:tc>
          <w:tcPr>
            <w:tcW w:w="0" w:type="dxa"/>
            <w:vAlign w:val="bottom"/>
          </w:tcPr>
          <w:p>
            <w:pPr>
              <w:spacing w:after="0"/>
              <w:rPr>
                <w:sz w:val="1"/>
                <w:szCs w:val="1"/>
                <w:color w:val="auto"/>
              </w:rPr>
            </w:pPr>
          </w:p>
        </w:tc>
      </w:tr>
      <w:tr>
        <w:trPr>
          <w:trHeight w:val="163"/>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70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w w:val="99"/>
              </w:rPr>
            </w:pPr>
            <w:hyperlink r:id="rId238">
              <w:r>
                <w:rPr>
                  <w:rFonts w:ascii="Times New Roman" w:cs="Times New Roman" w:eastAsia="Times New Roman" w:hAnsi="Times New Roman"/>
                  <w:sz w:val="16"/>
                  <w:szCs w:val="16"/>
                  <w:color w:val="0000FF"/>
                  <w:w w:val="99"/>
                </w:rPr>
                <w:t>2021 Stock Incentive Plan</w:t>
              </w:r>
            </w:hyperlink>
          </w:p>
        </w:tc>
        <w:tc>
          <w:tcPr>
            <w:tcW w:w="1940" w:type="dxa"/>
            <w:vAlign w:val="bottom"/>
            <w:tcBorders>
              <w:top w:val="single" w:sz="8" w:color="0000FF"/>
              <w:bottom w:val="single" w:sz="8" w:color="CCEEFF"/>
            </w:tcBorders>
            <w:gridSpan w:val="12"/>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294967277"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4080" w:type="dxa"/>
            <w:vAlign w:val="bottom"/>
            <w:gridSpan w:val="39"/>
          </w:tcPr>
          <w:p>
            <w:pPr>
              <w:spacing w:after="0" w:line="175"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Ascend Wellness Holdings, Inc. 2021 Employee Stock</w:t>
              </w:r>
            </w:hyperlink>
          </w:p>
        </w:tc>
        <w:tc>
          <w:tcPr>
            <w:tcW w:w="13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8"/>
              </w:rPr>
              <w:t>S-8</w:t>
            </w: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333-257780</w:t>
            </w:r>
          </w:p>
        </w:tc>
        <w:tc>
          <w:tcPr>
            <w:tcW w:w="8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5"/>
                <w:szCs w:val="15"/>
                <w:color w:val="auto"/>
              </w:rPr>
            </w:pPr>
          </w:p>
        </w:tc>
        <w:tc>
          <w:tcPr>
            <w:tcW w:w="19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July 9,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Purchase Plan</w:t>
              </w:r>
            </w:hyperlink>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right w:val="single" w:sz="8" w:color="CCEEFF"/>
            </w:tcBorders>
            <w:shd w:val="clear" w:color="auto" w:fill="CCEEFF"/>
          </w:tcPr>
          <w:p>
            <w:pPr>
              <w:spacing w:after="0"/>
              <w:rPr>
                <w:sz w:val="15"/>
                <w:szCs w:val="15"/>
                <w:color w:val="auto"/>
              </w:rPr>
            </w:pPr>
          </w:p>
        </w:tc>
        <w:tc>
          <w:tcPr>
            <w:tcW w:w="40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Specimen Stock Certificate evidencing the shares of</w:t>
              </w:r>
            </w:hyperlink>
          </w:p>
        </w:tc>
        <w:tc>
          <w:tcPr>
            <w:tcW w:w="130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April 15, 2021</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3380" w:type="dxa"/>
            <w:vAlign w:val="bottom"/>
            <w:tcBorders>
              <w:top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common stock</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320" w:type="dxa"/>
            <w:vAlign w:val="bottom"/>
            <w:tcBorders>
              <w:top w:val="single" w:sz="8" w:color="0000FF"/>
            </w:tcBorders>
            <w:shd w:val="clear" w:color="auto" w:fill="CCEEFF"/>
          </w:tcPr>
          <w:p>
            <w:pPr>
              <w:spacing w:after="0"/>
              <w:rPr>
                <w:sz w:val="6"/>
                <w:szCs w:val="6"/>
                <w:color w:val="auto"/>
              </w:rPr>
            </w:pPr>
          </w:p>
        </w:tc>
        <w:tc>
          <w:tcPr>
            <w:tcW w:w="160" w:type="dxa"/>
            <w:vAlign w:val="bottom"/>
            <w:tcBorders>
              <w:top w:val="single" w:sz="8" w:color="0000FF"/>
            </w:tcBorders>
            <w:shd w:val="clear" w:color="auto" w:fill="CCEEFF"/>
          </w:tcPr>
          <w:p>
            <w:pPr>
              <w:spacing w:after="0"/>
              <w:rPr>
                <w:sz w:val="6"/>
                <w:szCs w:val="6"/>
                <w:color w:val="auto"/>
              </w:rPr>
            </w:pPr>
          </w:p>
        </w:tc>
        <w:tc>
          <w:tcPr>
            <w:tcW w:w="140" w:type="dxa"/>
            <w:vAlign w:val="bottom"/>
            <w:tcBorders>
              <w:top w:val="single" w:sz="8" w:color="0000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94967277"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9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5"/>
                <w:szCs w:val="15"/>
                <w:color w:val="auto"/>
              </w:rPr>
            </w:pPr>
          </w:p>
        </w:tc>
        <w:tc>
          <w:tcPr>
            <w:tcW w:w="4080" w:type="dxa"/>
            <w:vAlign w:val="bottom"/>
            <w:gridSpan w:val="39"/>
          </w:tcPr>
          <w:p>
            <w:pPr>
              <w:spacing w:after="0" w:line="175"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Form of Registration Rights Agreement</w:t>
              </w:r>
            </w:hyperlink>
          </w:p>
        </w:tc>
        <w:tc>
          <w:tcPr>
            <w:tcW w:w="13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5"/>
                <w:szCs w:val="15"/>
                <w:color w:val="auto"/>
              </w:rPr>
            </w:pPr>
          </w:p>
        </w:tc>
        <w:tc>
          <w:tcPr>
            <w:tcW w:w="19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April 23, 2021</w:t>
            </w: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right w:val="single" w:sz="8" w:color="CCEEFF"/>
            </w:tcBorders>
            <w:shd w:val="clear" w:color="auto" w:fill="CCEEFF"/>
          </w:tcPr>
          <w:p>
            <w:pPr>
              <w:spacing w:after="0"/>
              <w:rPr>
                <w:sz w:val="15"/>
                <w:szCs w:val="15"/>
                <w:color w:val="auto"/>
              </w:rPr>
            </w:pPr>
          </w:p>
        </w:tc>
        <w:tc>
          <w:tcPr>
            <w:tcW w:w="40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Form of Warrant Agreement between Ascend Wellness</w:t>
              </w:r>
            </w:hyperlink>
          </w:p>
        </w:tc>
        <w:tc>
          <w:tcPr>
            <w:tcW w:w="130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2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August 15, 2022</w:t>
            </w:r>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94967277"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80" w:type="dxa"/>
            <w:vAlign w:val="bottom"/>
            <w:gridSpan w:val="39"/>
            <w:shd w:val="clear" w:color="auto" w:fill="CCEEFF"/>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Holdings, Inc. and each of the several lenders, dated June 30,</w:t>
              </w:r>
            </w:hyperlink>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3"/>
              </w:rPr>
            </w:pPr>
            <w:hyperlink r:id="rId242">
              <w:r>
                <w:rPr>
                  <w:rFonts w:ascii="Times New Roman" w:cs="Times New Roman" w:eastAsia="Times New Roman" w:hAnsi="Times New Roman"/>
                  <w:sz w:val="16"/>
                  <w:szCs w:val="16"/>
                  <w:color w:val="0000FF"/>
                  <w:w w:val="93"/>
                </w:rPr>
                <w:t>2022</w:t>
              </w:r>
            </w:hyperlink>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7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294967277"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top w:val="single" w:sz="8" w:color="CCEEFF"/>
            </w:tcBorders>
          </w:tcPr>
          <w:p>
            <w:pPr>
              <w:spacing w:after="0"/>
              <w:rPr>
                <w:sz w:val="15"/>
                <w:szCs w:val="15"/>
                <w:color w:val="auto"/>
              </w:rPr>
            </w:pPr>
          </w:p>
        </w:tc>
        <w:tc>
          <w:tcPr>
            <w:tcW w:w="3500" w:type="dxa"/>
            <w:vAlign w:val="bottom"/>
            <w:tcBorders>
              <w:top w:val="single" w:sz="8" w:color="CCEEFF"/>
              <w:bottom w:val="single" w:sz="8" w:color="0000FF"/>
            </w:tcBorders>
            <w:gridSpan w:val="17"/>
          </w:tcPr>
          <w:p>
            <w:pPr>
              <w:spacing w:after="0" w:line="155"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Indenture dated July 16, 2024 by and between Ascend</w:t>
              </w:r>
            </w:hyperlink>
          </w:p>
        </w:tc>
        <w:tc>
          <w:tcPr>
            <w:tcW w:w="60" w:type="dxa"/>
            <w:vAlign w:val="bottom"/>
            <w:tcBorders>
              <w:top w:val="single" w:sz="8" w:color="CCEEFF"/>
            </w:tcBorders>
            <w:gridSpan w:val="2"/>
          </w:tcPr>
          <w:p>
            <w:pPr>
              <w:spacing w:after="0"/>
              <w:rPr>
                <w:sz w:val="15"/>
                <w:szCs w:val="15"/>
                <w:color w:val="auto"/>
              </w:rPr>
            </w:pPr>
          </w:p>
        </w:tc>
        <w:tc>
          <w:tcPr>
            <w:tcW w:w="140" w:type="dxa"/>
            <w:vAlign w:val="bottom"/>
            <w:tcBorders>
              <w:top w:val="single" w:sz="8" w:color="CCEEFF"/>
            </w:tcBorders>
            <w:gridSpan w:val="2"/>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294967277"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1300" w:type="dxa"/>
            <w:vAlign w:val="bottom"/>
            <w:tcBorders>
              <w:top w:val="single" w:sz="8" w:color="CCEEFF"/>
            </w:tcBorders>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July 22, 2024</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00" w:type="dxa"/>
            <w:vAlign w:val="bottom"/>
            <w:gridSpan w:val="17"/>
          </w:tcPr>
          <w:p>
            <w:pPr>
              <w:spacing w:after="0" w:line="14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Wellness Holdings, Inc. and Odyssey Trust Company</w:t>
              </w:r>
            </w:hyperlink>
          </w:p>
        </w:tc>
        <w:tc>
          <w:tcPr>
            <w:tcW w:w="6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77"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right w:val="single" w:sz="8" w:color="CCEEFF"/>
            </w:tcBorders>
            <w:shd w:val="clear" w:color="auto" w:fill="CCEEFF"/>
          </w:tcPr>
          <w:p>
            <w:pPr>
              <w:spacing w:after="0"/>
              <w:rPr>
                <w:sz w:val="15"/>
                <w:szCs w:val="15"/>
                <w:color w:val="auto"/>
              </w:rPr>
            </w:pPr>
          </w:p>
        </w:tc>
        <w:tc>
          <w:tcPr>
            <w:tcW w:w="4080" w:type="dxa"/>
            <w:vAlign w:val="bottom"/>
            <w:gridSpan w:val="39"/>
            <w:shd w:val="clear" w:color="auto" w:fill="CCEEFF"/>
          </w:tcPr>
          <w:p>
            <w:pPr>
              <w:spacing w:after="0" w:line="155"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Guaranty dated July 16, 2024 by and between Chicago</w:t>
              </w:r>
            </w:hyperlink>
          </w:p>
        </w:tc>
        <w:tc>
          <w:tcPr>
            <w:tcW w:w="130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July 22, 2024</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3560" w:type="dxa"/>
            <w:vAlign w:val="bottom"/>
            <w:tcBorders>
              <w:top w:val="single" w:sz="8" w:color="0000FF"/>
              <w:right w:val="single" w:sz="8" w:color="CCEEFF"/>
            </w:tcBorders>
            <w:gridSpan w:val="19"/>
            <w:shd w:val="clear" w:color="auto" w:fill="CCEEFF"/>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Alternative Health Center, LLC, HealthCentral, LLC,</w:t>
              </w:r>
            </w:hyperlink>
          </w:p>
        </w:tc>
        <w:tc>
          <w:tcPr>
            <w:tcW w:w="1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3460" w:type="dxa"/>
            <w:vAlign w:val="bottom"/>
            <w:tcBorders>
              <w:top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MOCA LLC, Revolution Cannabis-Barry, LLC,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3400" w:type="dxa"/>
            <w:vAlign w:val="bottom"/>
            <w:tcBorders>
              <w:top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Homecoming Group, LLC, Ascend Maryland, LLC,</w:t>
              </w:r>
            </w:hyperlink>
          </w:p>
        </w:tc>
        <w:tc>
          <w:tcPr>
            <w:tcW w:w="680" w:type="dxa"/>
            <w:vAlign w:val="bottom"/>
            <w:tcBorders>
              <w:top w:val="single" w:sz="8" w:color="CCEEFF"/>
            </w:tcBorders>
            <w:gridSpan w:val="25"/>
            <w:shd w:val="clear" w:color="auto" w:fill="CCEEFF"/>
          </w:tcPr>
          <w:p>
            <w:pPr>
              <w:ind w:left="20"/>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Ascend</w:t>
              </w:r>
            </w:hyperlink>
          </w:p>
        </w:tc>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940" w:type="dxa"/>
            <w:vAlign w:val="bottom"/>
            <w:tcBorders>
              <w:top w:val="single" w:sz="8" w:color="0000FF"/>
              <w:bottom w:val="single" w:sz="8" w:color="0000FF"/>
            </w:tcBorders>
            <w:gridSpan w:val="34"/>
            <w:shd w:val="clear" w:color="auto" w:fill="CCEEFF"/>
          </w:tcPr>
          <w:p>
            <w:pPr>
              <w:spacing w:after="0" w:line="142" w:lineRule="exact"/>
              <w:rPr>
                <w:rFonts w:ascii="Times New Roman" w:cs="Times New Roman" w:eastAsia="Times New Roman" w:hAnsi="Times New Roman"/>
                <w:sz w:val="16"/>
                <w:szCs w:val="16"/>
                <w:color w:val="0000FF"/>
                <w:w w:val="98"/>
              </w:rPr>
            </w:pPr>
            <w:hyperlink r:id="rId244">
              <w:r>
                <w:rPr>
                  <w:rFonts w:ascii="Times New Roman" w:cs="Times New Roman" w:eastAsia="Times New Roman" w:hAnsi="Times New Roman"/>
                  <w:sz w:val="16"/>
                  <w:szCs w:val="16"/>
                  <w:color w:val="0000FF"/>
                  <w:w w:val="98"/>
                </w:rPr>
                <w:t>Mass, LLC, MassGrow, LLC, FPAW Michigan LLC, Ascend</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9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0" w:type="dxa"/>
            <w:vAlign w:val="bottom"/>
            <w:gridSpan w:val="37"/>
            <w:shd w:val="clear" w:color="auto" w:fill="CCEEFF"/>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New Jersey, LLC, BCCO, LLC, Ohio Cannabis Clinic LLC,</w:t>
              </w:r>
            </w:hyperlink>
          </w:p>
        </w:tc>
        <w:tc>
          <w:tcPr>
            <w:tcW w:w="80" w:type="dxa"/>
            <w:vAlign w:val="bottom"/>
            <w:gridSpan w:val="2"/>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780" w:type="dxa"/>
            <w:vAlign w:val="bottom"/>
            <w:tcBorders>
              <w:top w:val="single" w:sz="8" w:color="0000FF"/>
              <w:bottom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and Story of PA CR, LLC (collectively, the “Guarantors”)</w:t>
              </w:r>
            </w:hyperlink>
          </w:p>
        </w:tc>
        <w:tc>
          <w:tcPr>
            <w:tcW w:w="12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5"/>
                <w:szCs w:val="15"/>
                <w:color w:val="auto"/>
              </w:rPr>
            </w:pPr>
          </w:p>
        </w:tc>
        <w:tc>
          <w:tcPr>
            <w:tcW w:w="4080" w:type="dxa"/>
            <w:vAlign w:val="bottom"/>
            <w:gridSpan w:val="39"/>
          </w:tcPr>
          <w:p>
            <w:pPr>
              <w:spacing w:after="0" w:line="155"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Pledge and Security Agreement dated July 16, 2024 by and</w:t>
              </w:r>
            </w:hyperlink>
          </w:p>
        </w:tc>
        <w:tc>
          <w:tcPr>
            <w:tcW w:w="13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5"/>
                <w:szCs w:val="15"/>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5"/>
                <w:szCs w:val="15"/>
                <w:color w:val="auto"/>
              </w:rPr>
            </w:pPr>
          </w:p>
        </w:tc>
        <w:tc>
          <w:tcPr>
            <w:tcW w:w="1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July 22, 2024</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between Ascend Wellness Holdings, Inc., and Revolution</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22"/>
          </w:tcPr>
          <w:p>
            <w:pPr>
              <w:spacing w:after="0" w:line="142" w:lineRule="exact"/>
              <w:rPr>
                <w:rFonts w:ascii="Times New Roman" w:cs="Times New Roman" w:eastAsia="Times New Roman" w:hAnsi="Times New Roman"/>
                <w:sz w:val="16"/>
                <w:szCs w:val="16"/>
                <w:color w:val="0000FF"/>
                <w:w w:val="98"/>
              </w:rPr>
            </w:pPr>
            <w:hyperlink r:id="rId245">
              <w:r>
                <w:rPr>
                  <w:rFonts w:ascii="Times New Roman" w:cs="Times New Roman" w:eastAsia="Times New Roman" w:hAnsi="Times New Roman"/>
                  <w:sz w:val="16"/>
                  <w:szCs w:val="16"/>
                  <w:color w:val="0000FF"/>
                  <w:w w:val="98"/>
                </w:rPr>
                <w:t>Cannabis-Barry, LLC, Chicago Alternative Health Center,</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Borders>
              <w:bottom w:val="single" w:sz="8" w:color="0000FF"/>
            </w:tcBorders>
            <w:gridSpan w:val="25"/>
          </w:tcPr>
          <w:p>
            <w:pPr>
              <w:spacing w:after="0" w:line="142" w:lineRule="exact"/>
              <w:rPr>
                <w:rFonts w:ascii="Times New Roman" w:cs="Times New Roman" w:eastAsia="Times New Roman" w:hAnsi="Times New Roman"/>
                <w:sz w:val="16"/>
                <w:szCs w:val="16"/>
                <w:color w:val="0000FF"/>
                <w:w w:val="99"/>
              </w:rPr>
            </w:pPr>
            <w:hyperlink r:id="rId245">
              <w:r>
                <w:rPr>
                  <w:rFonts w:ascii="Times New Roman" w:cs="Times New Roman" w:eastAsia="Times New Roman" w:hAnsi="Times New Roman"/>
                  <w:sz w:val="16"/>
                  <w:szCs w:val="16"/>
                  <w:color w:val="0000FF"/>
                  <w:w w:val="99"/>
                </w:rPr>
                <w:t>LLC, MOCA LLC, Healthcentral, LLC, The Homecoming</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gridSpan w:val="29"/>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Group, LLC, Ascend Mass, LLC, Massgrow, LLC, FPAW</w:t>
              </w:r>
            </w:hyperlink>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Michigan, LLC, BCCO, LLC, Ohio Cannabis Clinic LLC,</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gridSpan w:val="27"/>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Ascend New Jersey, LLC, Story Of PA CR, LLC, Ascend</w:t>
              </w:r>
            </w:hyperlink>
          </w:p>
        </w:tc>
        <w:tc>
          <w:tcPr>
            <w:tcW w:w="20" w:type="dxa"/>
            <w:vAlign w:val="bottom"/>
          </w:tcPr>
          <w:p>
            <w:pPr>
              <w:spacing w:after="0"/>
              <w:rPr>
                <w:sz w:val="12"/>
                <w:szCs w:val="12"/>
                <w:color w:val="auto"/>
              </w:rPr>
            </w:pPr>
          </w:p>
        </w:tc>
        <w:tc>
          <w:tcPr>
            <w:tcW w:w="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6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Maryland, LLC, Ascend Mass, Inc., Ascend Illinois</w:t>
              </w:r>
            </w:hyperlink>
          </w:p>
        </w:tc>
        <w:tc>
          <w:tcPr>
            <w:tcW w:w="80" w:type="dxa"/>
            <w:vAlign w:val="bottom"/>
            <w:gridSpan w:val="4"/>
          </w:tcPr>
          <w:p>
            <w:pPr>
              <w:spacing w:after="0"/>
              <w:rPr>
                <w:sz w:val="12"/>
                <w:szCs w:val="12"/>
                <w:color w:val="auto"/>
              </w:rPr>
            </w:pPr>
          </w:p>
        </w:tc>
        <w:tc>
          <w:tcPr>
            <w:tcW w:w="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39"/>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Holdings, LLC, Ascend Illinois, LLC, Massgrow, Inc., AWH</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Pennsylvania, LLC, FPAW Michigan 2, Inc., as the initial</w:t>
              </w:r>
            </w:hyperlink>
          </w:p>
        </w:tc>
        <w:tc>
          <w:tcPr>
            <w:tcW w:w="10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w w:val="98"/>
              </w:rPr>
            </w:pPr>
            <w:hyperlink r:id="rId245">
              <w:r>
                <w:rPr>
                  <w:rFonts w:ascii="Times New Roman" w:cs="Times New Roman" w:eastAsia="Times New Roman" w:hAnsi="Times New Roman"/>
                  <w:sz w:val="16"/>
                  <w:szCs w:val="16"/>
                  <w:color w:val="0000FF"/>
                  <w:w w:val="98"/>
                </w:rPr>
                <w:t>grantors (collectively, the “Initial Grantors”), and Odyssey</w:t>
              </w:r>
            </w:hyperlink>
          </w:p>
        </w:tc>
        <w:tc>
          <w:tcPr>
            <w:tcW w:w="100" w:type="dxa"/>
            <w:vAlign w:val="bottom"/>
            <w:tcBorders>
              <w:bottom w:val="single" w:sz="8" w:color="0000FF"/>
            </w:tcBorders>
            <w:gridSpan w:val="5"/>
          </w:tcPr>
          <w:p>
            <w:pPr>
              <w:spacing w:after="0"/>
              <w:rPr>
                <w:sz w:val="12"/>
                <w:szCs w:val="12"/>
                <w:color w:val="auto"/>
              </w:rPr>
            </w:pPr>
          </w:p>
        </w:tc>
        <w:tc>
          <w:tcPr>
            <w:tcW w:w="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gridSpan w:val="28"/>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Trust Company</w:t>
              </w:r>
            </w:hyperlink>
          </w:p>
        </w:tc>
        <w:tc>
          <w:tcPr>
            <w:tcW w:w="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right w:val="single" w:sz="8" w:color="CCEEFF"/>
            </w:tcBorders>
            <w:shd w:val="clear" w:color="auto" w:fill="CCEEFF"/>
          </w:tcPr>
          <w:p>
            <w:pPr>
              <w:spacing w:after="0"/>
              <w:rPr>
                <w:sz w:val="15"/>
                <w:szCs w:val="15"/>
                <w:color w:val="auto"/>
              </w:rPr>
            </w:pPr>
          </w:p>
        </w:tc>
        <w:tc>
          <w:tcPr>
            <w:tcW w:w="40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First Supplemental Indenture dated January 13, 2025 by and</w:t>
              </w:r>
            </w:hyperlink>
          </w:p>
        </w:tc>
        <w:tc>
          <w:tcPr>
            <w:tcW w:w="130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January 14, 2025</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3920" w:type="dxa"/>
            <w:vAlign w:val="bottom"/>
            <w:tcBorders>
              <w:top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between Ascend Wellness Holdings, Inc. and Odyssey Trust</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4"/>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6"/>
              </w:rPr>
            </w:pPr>
            <w:hyperlink r:id="rId246">
              <w:r>
                <w:rPr>
                  <w:rFonts w:ascii="Times New Roman" w:cs="Times New Roman" w:eastAsia="Times New Roman" w:hAnsi="Times New Roman"/>
                  <w:sz w:val="16"/>
                  <w:szCs w:val="16"/>
                  <w:color w:val="0000FF"/>
                  <w:w w:val="96"/>
                </w:rPr>
                <w:t>Company</w:t>
              </w:r>
            </w:hyperlink>
          </w:p>
        </w:tc>
        <w:tc>
          <w:tcPr>
            <w:tcW w:w="3260" w:type="dxa"/>
            <w:vAlign w:val="bottom"/>
            <w:tcBorders>
              <w:top w:val="single" w:sz="8" w:color="0000FF"/>
              <w:bottom w:val="single" w:sz="8" w:color="CCEEFF"/>
            </w:tcBorders>
            <w:gridSpan w:val="28"/>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5"/>
                <w:szCs w:val="15"/>
                <w:color w:val="auto"/>
              </w:rPr>
            </w:pPr>
          </w:p>
        </w:tc>
        <w:tc>
          <w:tcPr>
            <w:tcW w:w="4080" w:type="dxa"/>
            <w:vAlign w:val="bottom"/>
            <w:gridSpan w:val="39"/>
          </w:tcPr>
          <w:p>
            <w:pPr>
              <w:spacing w:after="0" w:line="155" w:lineRule="exact"/>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Credit Agreement, dated August 27, 2021, by and among</w:t>
              </w:r>
            </w:hyperlink>
          </w:p>
        </w:tc>
        <w:tc>
          <w:tcPr>
            <w:tcW w:w="13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5"/>
                <w:szCs w:val="15"/>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5"/>
                <w:szCs w:val="15"/>
                <w:color w:val="auto"/>
              </w:rPr>
            </w:pPr>
          </w:p>
        </w:tc>
        <w:tc>
          <w:tcPr>
            <w:tcW w:w="1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September 1,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Ascend Wellness Holdings, Inc., group of lenders and</w:t>
              </w:r>
            </w:hyperlink>
          </w:p>
        </w:tc>
        <w:tc>
          <w:tcPr>
            <w:tcW w:w="220" w:type="dxa"/>
            <w:vAlign w:val="bottom"/>
            <w:tcBorders>
              <w:top w:val="single" w:sz="8" w:color="0000FF"/>
            </w:tcBorders>
            <w:gridSpan w:val="5"/>
          </w:tcPr>
          <w:p>
            <w:pPr>
              <w:spacing w:after="0"/>
              <w:rPr>
                <w:sz w:val="12"/>
                <w:szCs w:val="12"/>
                <w:color w:val="auto"/>
              </w:rPr>
            </w:pPr>
          </w:p>
        </w:tc>
        <w:tc>
          <w:tcPr>
            <w:tcW w:w="260" w:type="dxa"/>
            <w:vAlign w:val="bottom"/>
            <w:gridSpan w:val="14"/>
          </w:tcPr>
          <w:p>
            <w:pPr>
              <w:spacing w:after="0"/>
              <w:rPr>
                <w:sz w:val="12"/>
                <w:szCs w:val="12"/>
                <w:color w:val="auto"/>
              </w:rPr>
            </w:pPr>
          </w:p>
        </w:tc>
        <w:tc>
          <w:tcPr>
            <w:tcW w:w="12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39"/>
          </w:tcPr>
          <w:p>
            <w:pPr>
              <w:spacing w:after="0" w:line="142" w:lineRule="exact"/>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Acquiom Agency Services LLC, as administrative agent and</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60" w:type="dxa"/>
            <w:vAlign w:val="bottom"/>
            <w:tcBorders>
              <w:top w:val="single" w:sz="8" w:color="0000FF"/>
            </w:tcBorders>
            <w:gridSpan w:val="35"/>
          </w:tcPr>
          <w:p>
            <w:pPr>
              <w:spacing w:after="0" w:line="142" w:lineRule="exact"/>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collateral agent</w:t>
              </w:r>
            </w:hyperlink>
          </w:p>
        </w:tc>
        <w:tc>
          <w:tcPr>
            <w:tcW w:w="12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3100" w:type="dxa"/>
            <w:vAlign w:val="bottom"/>
            <w:gridSpan w:val="3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7"/>
                <w:szCs w:val="17"/>
                <w:color w:val="auto"/>
              </w:rPr>
            </w:pPr>
          </w:p>
        </w:tc>
        <w:tc>
          <w:tcPr>
            <w:tcW w:w="4080" w:type="dxa"/>
            <w:vAlign w:val="bottom"/>
            <w:gridSpan w:val="39"/>
          </w:tcPr>
          <w:p>
            <w:pPr>
              <w:spacing w:after="0"/>
              <w:rPr>
                <w:rFonts w:ascii="Times New Roman" w:cs="Times New Roman" w:eastAsia="Times New Roman" w:hAnsi="Times New Roman"/>
                <w:sz w:val="16"/>
                <w:szCs w:val="16"/>
                <w:u w:val="single" w:color="auto"/>
                <w:color w:val="0000FF"/>
              </w:rPr>
            </w:pPr>
            <w:hyperlink r:id="rId248">
              <w:r>
                <w:rPr>
                  <w:rFonts w:ascii="Times New Roman" w:cs="Times New Roman" w:eastAsia="Times New Roman" w:hAnsi="Times New Roman"/>
                  <w:sz w:val="16"/>
                  <w:szCs w:val="16"/>
                  <w:u w:val="single" w:color="auto"/>
                  <w:color w:val="0000FF"/>
                </w:rPr>
                <w:t>Amendment No. 1 to Credit Agreement, dated April 12,</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4457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left="1300"/>
        <w:spacing w:after="0" w:line="211" w:lineRule="auto"/>
        <w:rPr>
          <w:rFonts w:ascii="Times New Roman" w:cs="Times New Roman" w:eastAsia="Times New Roman" w:hAnsi="Times New Roman"/>
          <w:sz w:val="16"/>
          <w:szCs w:val="16"/>
          <w:u w:val="single" w:color="auto"/>
          <w:color w:val="0000FF"/>
        </w:rPr>
      </w:pPr>
      <w:hyperlink r:id="rId248">
        <w:r>
          <w:rPr>
            <w:rFonts w:ascii="Times New Roman" w:cs="Times New Roman" w:eastAsia="Times New Roman" w:hAnsi="Times New Roman"/>
            <w:sz w:val="16"/>
            <w:szCs w:val="16"/>
            <w:u w:val="single" w:color="auto"/>
            <w:color w:val="0000FF"/>
          </w:rPr>
          <w:t>2024, by and among Ascend Wellness Holdings, Inc., group</w:t>
        </w:r>
      </w:hyperlink>
    </w:p>
    <w:p>
      <w:pPr>
        <w:ind w:left="1300"/>
        <w:spacing w:after="0" w:line="211" w:lineRule="auto"/>
        <w:rPr>
          <w:rFonts w:ascii="Times New Roman" w:cs="Times New Roman" w:eastAsia="Times New Roman" w:hAnsi="Times New Roman"/>
          <w:sz w:val="16"/>
          <w:szCs w:val="16"/>
          <w:u w:val="single" w:color="auto"/>
          <w:color w:val="0000FF"/>
        </w:rPr>
      </w:pPr>
      <w:hyperlink r:id="rId248">
        <w:r>
          <w:rPr>
            <w:rFonts w:ascii="Times New Roman" w:cs="Times New Roman" w:eastAsia="Times New Roman" w:hAnsi="Times New Roman"/>
            <w:sz w:val="16"/>
            <w:szCs w:val="16"/>
            <w:u w:val="single" w:color="auto"/>
            <w:color w:val="0000FF"/>
          </w:rPr>
          <w:t>of lenders, and Acquiom Agency Services LLC, as</w:t>
        </w:r>
      </w:hyperlink>
    </w:p>
    <w:p>
      <w:pPr>
        <w:ind w:left="1300"/>
        <w:spacing w:after="0"/>
        <w:rPr>
          <w:rFonts w:ascii="Times New Roman" w:cs="Times New Roman" w:eastAsia="Times New Roman" w:hAnsi="Times New Roman"/>
          <w:sz w:val="16"/>
          <w:szCs w:val="16"/>
          <w:u w:val="single" w:color="auto"/>
          <w:color w:val="0000FF"/>
        </w:rPr>
      </w:pPr>
      <w:hyperlink r:id="rId248">
        <w:r>
          <w:rPr>
            <w:rFonts w:ascii="Times New Roman" w:cs="Times New Roman" w:eastAsia="Times New Roman" w:hAnsi="Times New Roman"/>
            <w:sz w:val="16"/>
            <w:szCs w:val="16"/>
            <w:u w:val="single" w:color="auto"/>
            <w:color w:val="0000FF"/>
          </w:rPr>
          <w:t>administrative agent and collateral agent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10.9†#</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10.13†#</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10.14*†#</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020" w:type="dxa"/>
            <w:vAlign w:val="bottom"/>
            <w:gridSpan w:val="34"/>
          </w:tcPr>
          <w:p>
            <w:pPr>
              <w:spacing w:after="0"/>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Amendment No. 2 to Credit Agreement, dated June 28, 2024,</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10-K</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March 13, 2025</w:t>
            </w:r>
          </w:p>
        </w:tc>
        <w:tc>
          <w:tcPr>
            <w:tcW w:w="0" w:type="dxa"/>
            <w:vAlign w:val="bottom"/>
          </w:tcPr>
          <w:p>
            <w:pPr>
              <w:spacing w:after="0"/>
              <w:rPr>
                <w:sz w:val="1"/>
                <w:szCs w:val="1"/>
                <w:color w:val="auto"/>
              </w:rPr>
            </w:pPr>
          </w:p>
        </w:tc>
      </w:tr>
      <w:tr>
        <w:trPr>
          <w:trHeight w:val="142"/>
        </w:trPr>
        <w:tc>
          <w:tcPr>
            <w:tcW w:w="400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by and among Ascend Wellness Holdings, Inc, group of</w:t>
              </w:r>
            </w:hyperlink>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lenders, and Acquiom Agency Services LLC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administrative agent and collateral agent</w:t>
              </w:r>
            </w:hyperlink>
          </w:p>
        </w:tc>
        <w:tc>
          <w:tcPr>
            <w:tcW w:w="420" w:type="dxa"/>
            <w:vAlign w:val="bottom"/>
            <w:tcBorders>
              <w:top w:val="single" w:sz="8" w:color="0000FF"/>
            </w:tcBorders>
            <w:gridSpan w:val="3"/>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20" w:type="dxa"/>
            <w:vAlign w:val="bottom"/>
            <w:gridSpan w:val="34"/>
          </w:tcPr>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Amendment No. 3 to Credit Agreement , dated January 13,</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10-K</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March 13, 2025</w:t>
            </w:r>
          </w:p>
        </w:tc>
        <w:tc>
          <w:tcPr>
            <w:tcW w:w="0" w:type="dxa"/>
            <w:vAlign w:val="bottom"/>
          </w:tcPr>
          <w:p>
            <w:pPr>
              <w:spacing w:after="0"/>
              <w:rPr>
                <w:sz w:val="1"/>
                <w:szCs w:val="1"/>
                <w:color w:val="auto"/>
              </w:rPr>
            </w:pPr>
          </w:p>
        </w:tc>
      </w:tr>
      <w:tr>
        <w:trPr>
          <w:trHeight w:val="169"/>
        </w:trPr>
        <w:tc>
          <w:tcPr>
            <w:tcW w:w="3880" w:type="dxa"/>
            <w:vAlign w:val="bottom"/>
            <w:tcBorders>
              <w:top w:val="single" w:sz="8" w:color="0000FF"/>
              <w:bottom w:val="single" w:sz="8" w:color="0000FF"/>
            </w:tcBorders>
            <w:gridSpan w:val="30"/>
          </w:tcPr>
          <w:p>
            <w:pPr>
              <w:spacing w:after="0" w:line="169"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2025, by and among Ascend Wellness Holdings, Inc, group</w:t>
              </w:r>
            </w:hyperlink>
          </w:p>
        </w:tc>
        <w:tc>
          <w:tcPr>
            <w:tcW w:w="2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20" w:type="dxa"/>
            <w:vAlign w:val="bottom"/>
            <w:gridSpan w:val="34"/>
          </w:tcPr>
          <w:p>
            <w:pPr>
              <w:spacing w:after="0" w:line="183"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of lenders, and Acquiom Agency Services LLC as</w:t>
              </w:r>
            </w:hyperlink>
          </w:p>
        </w:tc>
        <w:tc>
          <w:tcPr>
            <w:tcW w:w="1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administrative agent and collateral agent</w:t>
              </w:r>
            </w:hyperlink>
          </w:p>
        </w:tc>
        <w:tc>
          <w:tcPr>
            <w:tcW w:w="62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Form of Indemnification Agreement</w:t>
              </w:r>
            </w:hyperlink>
          </w:p>
        </w:tc>
        <w:tc>
          <w:tcPr>
            <w:tcW w:w="1640" w:type="dxa"/>
            <w:vAlign w:val="bottom"/>
            <w:gridSpan w:val="25"/>
          </w:tcPr>
          <w:p>
            <w:pPr>
              <w:spacing w:after="0"/>
              <w:rPr>
                <w:sz w:val="19"/>
                <w:szCs w:val="19"/>
                <w:color w:val="auto"/>
              </w:rPr>
            </w:pPr>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April 15, 2021</w:t>
            </w:r>
          </w:p>
        </w:tc>
        <w:tc>
          <w:tcPr>
            <w:tcW w:w="0" w:type="dxa"/>
            <w:vAlign w:val="bottom"/>
          </w:tcPr>
          <w:p>
            <w:pPr>
              <w:spacing w:after="0"/>
              <w:rPr>
                <w:sz w:val="1"/>
                <w:szCs w:val="1"/>
                <w:color w:val="auto"/>
              </w:rPr>
            </w:pPr>
          </w:p>
        </w:tc>
      </w:tr>
      <w:tr>
        <w:trPr>
          <w:trHeight w:val="439"/>
        </w:trPr>
        <w:tc>
          <w:tcPr>
            <w:tcW w:w="402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Employment Agreement between Ascend Wellness Holdings,</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May 8, 2024</w:t>
            </w:r>
          </w:p>
        </w:tc>
        <w:tc>
          <w:tcPr>
            <w:tcW w:w="0" w:type="dxa"/>
            <w:vAlign w:val="bottom"/>
          </w:tcPr>
          <w:p>
            <w:pPr>
              <w:spacing w:after="0"/>
              <w:rPr>
                <w:sz w:val="1"/>
                <w:szCs w:val="1"/>
                <w:color w:val="auto"/>
              </w:rPr>
            </w:pPr>
          </w:p>
        </w:tc>
      </w:tr>
      <w:tr>
        <w:trPr>
          <w:trHeight w:val="142"/>
        </w:trPr>
        <w:tc>
          <w:tcPr>
            <w:tcW w:w="4020" w:type="dxa"/>
            <w:vAlign w:val="bottom"/>
            <w:gridSpan w:val="34"/>
          </w:tcPr>
          <w:p>
            <w:pPr>
              <w:spacing w:after="0" w:line="142"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Inc. and Abner Kurtin, dated March 29, 2024</w:t>
              </w:r>
            </w:hyperlink>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Employee Separation and Release Agreement between</w:t>
              </w:r>
            </w:hyperlink>
          </w:p>
        </w:tc>
        <w:tc>
          <w:tcPr>
            <w:tcW w:w="460" w:type="dxa"/>
            <w:vAlign w:val="bottom"/>
            <w:gridSpan w:val="16"/>
          </w:tcPr>
          <w:p>
            <w:pPr>
              <w:spacing w:after="0"/>
              <w:rPr>
                <w:sz w:val="17"/>
                <w:szCs w:val="17"/>
                <w:color w:val="auto"/>
              </w:rPr>
            </w:pPr>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May 8, 2024</w:t>
            </w:r>
          </w:p>
        </w:tc>
        <w:tc>
          <w:tcPr>
            <w:tcW w:w="0" w:type="dxa"/>
            <w:vAlign w:val="bottom"/>
          </w:tcPr>
          <w:p>
            <w:pPr>
              <w:spacing w:after="0"/>
              <w:rPr>
                <w:sz w:val="1"/>
                <w:szCs w:val="1"/>
                <w:color w:val="auto"/>
              </w:rPr>
            </w:pPr>
          </w:p>
        </w:tc>
      </w:tr>
      <w:tr>
        <w:trPr>
          <w:trHeight w:val="142"/>
        </w:trPr>
        <w:tc>
          <w:tcPr>
            <w:tcW w:w="4020" w:type="dxa"/>
            <w:vAlign w:val="bottom"/>
            <w:gridSpan w:val="34"/>
          </w:tcPr>
          <w:p>
            <w:pPr>
              <w:spacing w:after="0" w:line="142" w:lineRule="exact"/>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Ascend Wellness Holdings, Inc. and Abner Kurtin, dated</w:t>
              </w:r>
            </w:hyperlink>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March 29, 2024</w:t>
              </w:r>
            </w:hyperlink>
          </w:p>
        </w:tc>
        <w:tc>
          <w:tcPr>
            <w:tcW w:w="266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Employment Agreement between Ascend Wellness Holdings,</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May 8, 2024</w:t>
            </w:r>
          </w:p>
        </w:tc>
        <w:tc>
          <w:tcPr>
            <w:tcW w:w="0" w:type="dxa"/>
            <w:vAlign w:val="bottom"/>
          </w:tcPr>
          <w:p>
            <w:pPr>
              <w:spacing w:after="0"/>
              <w:rPr>
                <w:sz w:val="1"/>
                <w:szCs w:val="1"/>
                <w:color w:val="auto"/>
              </w:rPr>
            </w:pPr>
          </w:p>
        </w:tc>
      </w:tr>
      <w:tr>
        <w:trPr>
          <w:trHeight w:val="142"/>
        </w:trPr>
        <w:tc>
          <w:tcPr>
            <w:tcW w:w="3060" w:type="dxa"/>
            <w:vAlign w:val="bottom"/>
            <w:tcBorders>
              <w:bottom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Inc. and Francis Perullo, dated March 26, 2024</w:t>
              </w:r>
            </w:hyperlink>
          </w:p>
        </w:tc>
        <w:tc>
          <w:tcPr>
            <w:tcW w:w="960" w:type="dxa"/>
            <w:vAlign w:val="bottom"/>
            <w:gridSpan w:val="21"/>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Employee Separation and Release Agreement between</w:t>
              </w:r>
            </w:hyperlink>
          </w:p>
        </w:tc>
        <w:tc>
          <w:tcPr>
            <w:tcW w:w="460" w:type="dxa"/>
            <w:vAlign w:val="bottom"/>
            <w:gridSpan w:val="16"/>
          </w:tcPr>
          <w:p>
            <w:pPr>
              <w:spacing w:after="0"/>
              <w:rPr>
                <w:sz w:val="17"/>
                <w:szCs w:val="17"/>
                <w:color w:val="auto"/>
              </w:rPr>
            </w:pPr>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May 8, 2024</w:t>
            </w:r>
          </w:p>
        </w:tc>
        <w:tc>
          <w:tcPr>
            <w:tcW w:w="0" w:type="dxa"/>
            <w:vAlign w:val="bottom"/>
          </w:tcPr>
          <w:p>
            <w:pPr>
              <w:spacing w:after="0"/>
              <w:rPr>
                <w:sz w:val="1"/>
                <w:szCs w:val="1"/>
                <w:color w:val="auto"/>
              </w:rPr>
            </w:pPr>
          </w:p>
        </w:tc>
      </w:tr>
      <w:tr>
        <w:trPr>
          <w:trHeight w:val="142"/>
        </w:trPr>
        <w:tc>
          <w:tcPr>
            <w:tcW w:w="4020" w:type="dxa"/>
            <w:vAlign w:val="bottom"/>
            <w:gridSpan w:val="34"/>
          </w:tcPr>
          <w:p>
            <w:pPr>
              <w:spacing w:after="0" w:line="142" w:lineRule="exact"/>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Ascend Wellness Holdings, Inc. and Francis Perullo, dated</w:t>
              </w:r>
            </w:hyperlink>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March 26, 2024</w:t>
              </w:r>
            </w:hyperlink>
          </w:p>
        </w:tc>
        <w:tc>
          <w:tcPr>
            <w:tcW w:w="278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Employment Agreement between Ascend Wellness Holdings,</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November 12, 2024</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Inc. and Samuel Brill, dated as of August 26, 2024</w:t>
              </w:r>
            </w:hyperlink>
          </w:p>
        </w:tc>
        <w:tc>
          <w:tcPr>
            <w:tcW w:w="720" w:type="dxa"/>
            <w:vAlign w:val="bottom"/>
            <w:gridSpan w:val="18"/>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Employment Agreement between Ascend Wellness Holdings,</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November 12, 2024</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Inc. and Francis Perullo, dated as of August 26, 2024</w:t>
              </w:r>
            </w:hyperlink>
          </w:p>
        </w:tc>
        <w:tc>
          <w:tcPr>
            <w:tcW w:w="560" w:type="dxa"/>
            <w:vAlign w:val="bottom"/>
            <w:gridSpan w:val="17"/>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Employment Agreement between Ascend Wellness Holdings,</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November 12, 2024</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Inc. and Roman Nemchenko, dated as of August 26, 2024</w:t>
              </w:r>
            </w:hyperlink>
          </w:p>
        </w:tc>
        <w:tc>
          <w:tcPr>
            <w:tcW w:w="240" w:type="dxa"/>
            <w:vAlign w:val="bottom"/>
            <w:gridSpan w:val="8"/>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gridSpan w:val="34"/>
          </w:tcPr>
          <w:p>
            <w:pPr>
              <w:spacing w:after="0"/>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Amended and Restated Employment Agreement between</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10-K</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March 13, 2025</w:t>
            </w:r>
          </w:p>
        </w:tc>
        <w:tc>
          <w:tcPr>
            <w:tcW w:w="0" w:type="dxa"/>
            <w:vAlign w:val="bottom"/>
          </w:tcPr>
          <w:p>
            <w:pPr>
              <w:spacing w:after="0"/>
              <w:rPr>
                <w:sz w:val="1"/>
                <w:szCs w:val="1"/>
                <w:color w:val="auto"/>
              </w:rPr>
            </w:pPr>
          </w:p>
        </w:tc>
      </w:tr>
      <w:tr>
        <w:trPr>
          <w:trHeight w:val="142"/>
        </w:trPr>
        <w:tc>
          <w:tcPr>
            <w:tcW w:w="376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Ascend Wellness Holdings, Inc. and Abner Kurtin, dated</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March 10,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8"/>
          </w:tcPr>
          <w:p>
            <w:pPr>
              <w:spacing w:after="0"/>
              <w:rPr>
                <w:sz w:val="2"/>
                <w:szCs w:val="2"/>
                <w:color w:val="auto"/>
              </w:rPr>
            </w:pPr>
          </w:p>
        </w:tc>
        <w:tc>
          <w:tcPr>
            <w:tcW w:w="3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gridSpan w:val="29"/>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shd w:val="clear" w:color="auto" w:fill="CCEEFF"/>
              </w:rPr>
              <w:t>Amendment No. 1 to the Employment Agreement between</w:t>
            </w:r>
          </w:p>
        </w:tc>
        <w:tc>
          <w:tcPr>
            <w:tcW w:w="20" w:type="dxa"/>
            <w:vAlign w:val="bottom"/>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tcBorders>
              <w:top w:val="single" w:sz="8" w:color="CCEEFF"/>
            </w:tcBorders>
            <w:gridSpan w:val="21"/>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0000FF"/>
                <w:shd w:val="clear" w:color="auto" w:fill="CCEEFF"/>
              </w:rPr>
              <w:t>Ascend Wellness Holdings, Inc. and Abner Kurtin, dated</w:t>
            </w: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40" w:type="dxa"/>
            <w:vAlign w:val="bottom"/>
            <w:tcBorders>
              <w:top w:val="single" w:sz="8" w:color="CCEEFF"/>
              <w:bottom w:val="single" w:sz="8" w:color="0000FF"/>
            </w:tcBorders>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0000FF"/>
                <w:shd w:val="clear" w:color="auto" w:fill="CCEEFF"/>
              </w:rPr>
              <w:t>March 10, 2026</w:t>
            </w: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380" w:type="dxa"/>
            <w:vAlign w:val="bottom"/>
            <w:tcBorders>
              <w:top w:val="single" w:sz="8" w:color="0000FF"/>
            </w:tcBorders>
            <w:gridSpan w:val="8"/>
          </w:tcPr>
          <w:p>
            <w:pPr>
              <w:spacing w:after="0"/>
              <w:rPr>
                <w:sz w:val="11"/>
                <w:szCs w:val="11"/>
                <w:color w:val="auto"/>
              </w:rPr>
            </w:pPr>
          </w:p>
        </w:tc>
        <w:tc>
          <w:tcPr>
            <w:tcW w:w="360" w:type="dxa"/>
            <w:vAlign w:val="bottom"/>
            <w:tcBorders>
              <w:top w:val="single" w:sz="8" w:color="0000FF"/>
            </w:tcBorders>
            <w:gridSpan w:val="4"/>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20" w:type="dxa"/>
            <w:vAlign w:val="bottom"/>
            <w:gridSpan w:val="34"/>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Lease between IIP-IL 1, LLC and Ascend Illinois, LLC,</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March 29, 2021</w:t>
            </w:r>
          </w:p>
        </w:tc>
        <w:tc>
          <w:tcPr>
            <w:tcW w:w="0" w:type="dxa"/>
            <w:vAlign w:val="bottom"/>
          </w:tcPr>
          <w:p>
            <w:pPr>
              <w:spacing w:after="0"/>
              <w:rPr>
                <w:sz w:val="1"/>
                <w:szCs w:val="1"/>
                <w:color w:val="auto"/>
              </w:rPr>
            </w:pPr>
          </w:p>
        </w:tc>
      </w:tr>
      <w:tr>
        <w:trPr>
          <w:trHeight w:val="142"/>
        </w:trPr>
        <w:tc>
          <w:tcPr>
            <w:tcW w:w="168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dated December 21, 2018</w:t>
              </w:r>
            </w:hyperlink>
          </w:p>
        </w:tc>
        <w:tc>
          <w:tcPr>
            <w:tcW w:w="1980" w:type="dxa"/>
            <w:vAlign w:val="bottom"/>
            <w:tcBorders>
              <w:top w:val="single" w:sz="8" w:color="0000FF"/>
            </w:tcBorders>
            <w:gridSpan w:val="1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gridSpan w:val="34"/>
          </w:tcPr>
          <w:p>
            <w:pPr>
              <w:spacing w:after="0"/>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First Amendment to Lease Agreement between IIP-IL 1 LLC</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March 29, 2021</w:t>
            </w:r>
          </w:p>
        </w:tc>
        <w:tc>
          <w:tcPr>
            <w:tcW w:w="0" w:type="dxa"/>
            <w:vAlign w:val="bottom"/>
          </w:tcPr>
          <w:p>
            <w:pPr>
              <w:spacing w:after="0"/>
              <w:rPr>
                <w:sz w:val="1"/>
                <w:szCs w:val="1"/>
                <w:color w:val="auto"/>
              </w:rPr>
            </w:pPr>
          </w:p>
        </w:tc>
      </w:tr>
      <w:tr>
        <w:trPr>
          <w:trHeight w:val="142"/>
        </w:trPr>
        <w:tc>
          <w:tcPr>
            <w:tcW w:w="398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and Revolution Cannabis - Barry, LLC, dated September 5,</w:t>
              </w:r>
            </w:hyperlink>
          </w:p>
        </w:tc>
        <w:tc>
          <w:tcPr>
            <w:tcW w:w="4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263">
              <w:r>
                <w:rPr>
                  <w:rFonts w:ascii="Times New Roman" w:cs="Times New Roman" w:eastAsia="Times New Roman" w:hAnsi="Times New Roman"/>
                  <w:sz w:val="16"/>
                  <w:szCs w:val="16"/>
                  <w:color w:val="0000FF"/>
                  <w:w w:val="99"/>
                </w:rPr>
                <w:t>2019</w:t>
              </w:r>
            </w:hyperlink>
          </w:p>
        </w:tc>
        <w:tc>
          <w:tcPr>
            <w:tcW w:w="2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gridSpan w:val="34"/>
          </w:tcPr>
          <w:p>
            <w:pPr>
              <w:spacing w:after="0" w:line="183" w:lineRule="exact"/>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Second Amendment to Lease Agreement between IIP-IL 1</w:t>
              </w:r>
            </w:hyperlink>
          </w:p>
        </w:tc>
        <w:tc>
          <w:tcPr>
            <w:tcW w:w="1240" w:type="dxa"/>
            <w:vAlign w:val="bottom"/>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line="183" w:lineRule="exact"/>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10.13</w:t>
            </w:r>
          </w:p>
        </w:tc>
        <w:tc>
          <w:tcPr>
            <w:tcW w:w="1700" w:type="dxa"/>
            <w:vAlign w:val="bottom"/>
          </w:tcPr>
          <w:p>
            <w:pPr>
              <w:jc w:val="center"/>
              <w:ind w:left="319"/>
              <w:spacing w:after="0" w:line="183" w:lineRule="exact"/>
              <w:rPr>
                <w:sz w:val="20"/>
                <w:szCs w:val="20"/>
                <w:color w:val="auto"/>
              </w:rPr>
            </w:pPr>
            <w:r>
              <w:rPr>
                <w:rFonts w:ascii="Times New Roman" w:cs="Times New Roman" w:eastAsia="Times New Roman" w:hAnsi="Times New Roman"/>
                <w:sz w:val="16"/>
                <w:szCs w:val="16"/>
                <w:color w:val="auto"/>
              </w:rPr>
              <w:t>March 29, 2021</w:t>
            </w:r>
          </w:p>
        </w:tc>
        <w:tc>
          <w:tcPr>
            <w:tcW w:w="0" w:type="dxa"/>
            <w:vAlign w:val="bottom"/>
          </w:tcPr>
          <w:p>
            <w:pPr>
              <w:spacing w:after="0"/>
              <w:rPr>
                <w:sz w:val="1"/>
                <w:szCs w:val="1"/>
                <w:color w:val="auto"/>
              </w:rPr>
            </w:pPr>
          </w:p>
        </w:tc>
      </w:tr>
      <w:tr>
        <w:trPr>
          <w:trHeight w:val="142"/>
        </w:trPr>
        <w:tc>
          <w:tcPr>
            <w:tcW w:w="3840" w:type="dxa"/>
            <w:vAlign w:val="bottom"/>
            <w:tcBorders>
              <w:top w:val="single" w:sz="8" w:color="0000FF"/>
              <w:bottom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LLC and Revolution Cannabis - Barry, LLC, dated August</w:t>
              </w:r>
            </w:hyperlink>
          </w:p>
        </w:tc>
        <w:tc>
          <w:tcPr>
            <w:tcW w:w="180" w:type="dxa"/>
            <w:vAlign w:val="bottom"/>
            <w:gridSpan w:val="6"/>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Borders>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264">
              <w:r>
                <w:rPr>
                  <w:rFonts w:ascii="Times New Roman" w:cs="Times New Roman" w:eastAsia="Times New Roman" w:hAnsi="Times New Roman"/>
                  <w:sz w:val="16"/>
                  <w:szCs w:val="16"/>
                  <w:color w:val="0000FF"/>
                  <w:w w:val="99"/>
                </w:rPr>
                <w:t>18, 2020</w:t>
              </w:r>
            </w:hyperlink>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gridSpan w:val="34"/>
          </w:tcPr>
          <w:p>
            <w:pPr>
              <w:spacing w:after="0" w:line="183"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Third Amendment to Lease Agreement between IIP-IL 1</w:t>
              </w:r>
            </w:hyperlink>
          </w:p>
        </w:tc>
        <w:tc>
          <w:tcPr>
            <w:tcW w:w="1240" w:type="dxa"/>
            <w:vAlign w:val="bottom"/>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7"/>
              </w:rPr>
              <w:t>10-K</w:t>
            </w:r>
          </w:p>
        </w:tc>
        <w:tc>
          <w:tcPr>
            <w:tcW w:w="1540" w:type="dxa"/>
            <w:vAlign w:val="bottom"/>
          </w:tcPr>
          <w:p>
            <w:pPr>
              <w:jc w:val="right"/>
              <w:ind w:right="299"/>
              <w:spacing w:after="0" w:line="183" w:lineRule="exact"/>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10.13</w:t>
            </w:r>
          </w:p>
        </w:tc>
        <w:tc>
          <w:tcPr>
            <w:tcW w:w="1700" w:type="dxa"/>
            <w:vAlign w:val="bottom"/>
          </w:tcPr>
          <w:p>
            <w:pPr>
              <w:jc w:val="center"/>
              <w:ind w:left="319"/>
              <w:spacing w:after="0" w:line="183" w:lineRule="exact"/>
              <w:rPr>
                <w:sz w:val="20"/>
                <w:szCs w:val="20"/>
                <w:color w:val="auto"/>
              </w:rPr>
            </w:pPr>
            <w:r>
              <w:rPr>
                <w:rFonts w:ascii="Times New Roman" w:cs="Times New Roman" w:eastAsia="Times New Roman" w:hAnsi="Times New Roman"/>
                <w:sz w:val="16"/>
                <w:szCs w:val="16"/>
                <w:color w:val="auto"/>
              </w:rPr>
              <w:t>March 11, 2022</w:t>
            </w:r>
          </w:p>
        </w:tc>
        <w:tc>
          <w:tcPr>
            <w:tcW w:w="0" w:type="dxa"/>
            <w:vAlign w:val="bottom"/>
          </w:tcPr>
          <w:p>
            <w:pPr>
              <w:spacing w:after="0"/>
              <w:rPr>
                <w:sz w:val="1"/>
                <w:szCs w:val="1"/>
                <w:color w:val="auto"/>
              </w:rPr>
            </w:pPr>
          </w:p>
        </w:tc>
      </w:tr>
      <w:tr>
        <w:trPr>
          <w:trHeight w:val="142"/>
        </w:trPr>
        <w:tc>
          <w:tcPr>
            <w:tcW w:w="372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LLC and Revolution Cannabis - Barry, LLC, dated</w:t>
              </w:r>
            </w:hyperlink>
          </w:p>
        </w:tc>
        <w:tc>
          <w:tcPr>
            <w:tcW w:w="20" w:type="dxa"/>
            <w:vAlign w:val="bottom"/>
          </w:tcPr>
          <w:p>
            <w:pPr>
              <w:spacing w:after="0"/>
              <w:rPr>
                <w:sz w:val="12"/>
                <w:szCs w:val="12"/>
                <w:color w:val="auto"/>
              </w:rPr>
            </w:pPr>
          </w:p>
        </w:tc>
        <w:tc>
          <w:tcPr>
            <w:tcW w:w="280" w:type="dxa"/>
            <w:vAlign w:val="bottom"/>
            <w:gridSpan w:val="10"/>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September 15, 2021</w:t>
              </w:r>
            </w:hyperlink>
          </w:p>
        </w:tc>
        <w:tc>
          <w:tcPr>
            <w:tcW w:w="440" w:type="dxa"/>
            <w:vAlign w:val="bottom"/>
            <w:gridSpan w:val="8"/>
          </w:tcPr>
          <w:p>
            <w:pPr>
              <w:spacing w:after="0"/>
              <w:rPr>
                <w:sz w:val="12"/>
                <w:szCs w:val="12"/>
                <w:color w:val="auto"/>
              </w:rPr>
            </w:pPr>
          </w:p>
        </w:tc>
        <w:tc>
          <w:tcPr>
            <w:tcW w:w="280" w:type="dxa"/>
            <w:vAlign w:val="bottom"/>
            <w:gridSpan w:val="10"/>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20" w:type="dxa"/>
            <w:vAlign w:val="bottom"/>
            <w:gridSpan w:val="16"/>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34"/>
          </w:tcPr>
          <w:p>
            <w:pPr>
              <w:spacing w:after="0" w:line="183" w:lineRule="exact"/>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Letter of Macias Gini &amp; O’Connell LLP dated March 21,</w:t>
              </w:r>
            </w:hyperlink>
          </w:p>
        </w:tc>
        <w:tc>
          <w:tcPr>
            <w:tcW w:w="1240" w:type="dxa"/>
            <w:vAlign w:val="bottom"/>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right"/>
              <w:ind w:right="299"/>
              <w:spacing w:after="0" w:line="183" w:lineRule="exact"/>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16.1</w:t>
            </w:r>
          </w:p>
        </w:tc>
        <w:tc>
          <w:tcPr>
            <w:tcW w:w="1700" w:type="dxa"/>
            <w:vAlign w:val="bottom"/>
          </w:tcPr>
          <w:p>
            <w:pPr>
              <w:jc w:val="center"/>
              <w:ind w:left="319"/>
              <w:spacing w:after="0" w:line="183" w:lineRule="exact"/>
              <w:rPr>
                <w:sz w:val="20"/>
                <w:szCs w:val="20"/>
                <w:color w:val="auto"/>
              </w:rPr>
            </w:pPr>
            <w:r>
              <w:rPr>
                <w:rFonts w:ascii="Times New Roman" w:cs="Times New Roman" w:eastAsia="Times New Roman" w:hAnsi="Times New Roman"/>
                <w:sz w:val="16"/>
                <w:szCs w:val="16"/>
                <w:color w:val="auto"/>
              </w:rPr>
              <w:t>March 19, 2025</w:t>
            </w:r>
          </w:p>
        </w:tc>
        <w:tc>
          <w:tcPr>
            <w:tcW w:w="0" w:type="dxa"/>
            <w:vAlign w:val="bottom"/>
          </w:tcPr>
          <w:p>
            <w:pPr>
              <w:spacing w:after="0"/>
              <w:rPr>
                <w:sz w:val="1"/>
                <w:szCs w:val="1"/>
                <w:color w:val="auto"/>
              </w:rPr>
            </w:pPr>
          </w:p>
        </w:tc>
      </w:tr>
      <w:tr>
        <w:trPr>
          <w:trHeight w:val="142"/>
        </w:trPr>
        <w:tc>
          <w:tcPr>
            <w:tcW w:w="108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2025 to the SEC</w:t>
              </w:r>
            </w:hyperlink>
          </w:p>
        </w:tc>
        <w:tc>
          <w:tcPr>
            <w:tcW w:w="2660" w:type="dxa"/>
            <w:vAlign w:val="bottom"/>
            <w:tcBorders>
              <w:top w:val="single" w:sz="8" w:color="0000FF"/>
            </w:tcBorders>
            <w:gridSpan w:val="20"/>
          </w:tcPr>
          <w:p>
            <w:pPr>
              <w:spacing w:after="0"/>
              <w:rPr>
                <w:sz w:val="12"/>
                <w:szCs w:val="12"/>
                <w:color w:val="auto"/>
              </w:rPr>
            </w:pPr>
          </w:p>
        </w:tc>
        <w:tc>
          <w:tcPr>
            <w:tcW w:w="280" w:type="dxa"/>
            <w:vAlign w:val="bottom"/>
            <w:gridSpan w:val="10"/>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gridSpan w:val="34"/>
          </w:tcPr>
          <w:p>
            <w:pPr>
              <w:spacing w:after="0"/>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Insider Trading Policy</w:t>
              </w:r>
            </w:hyperlink>
          </w:p>
        </w:tc>
        <w:tc>
          <w:tcPr>
            <w:tcW w:w="12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10-K</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March 13, 2025</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00" w:type="dxa"/>
            <w:vAlign w:val="bottom"/>
            <w:gridSpan w:val="2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Subsidiaries of the Registrant</w:t>
            </w: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-5160010</wp:posOffset>
            </wp:positionV>
            <wp:extent cx="7132320" cy="531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7132320" cy="53149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-4337050</wp:posOffset>
            </wp:positionV>
            <wp:extent cx="7132320" cy="240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-3754120</wp:posOffset>
            </wp:positionV>
            <wp:extent cx="7132320"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-3171190</wp:posOffset>
            </wp:positionV>
            <wp:extent cx="7132320"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-2691130</wp:posOffset>
            </wp:positionV>
            <wp:extent cx="7132320" cy="240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-2108200</wp:posOffset>
            </wp:positionV>
            <wp:extent cx="7132320" cy="3429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-1525270</wp:posOffset>
            </wp:positionV>
            <wp:extent cx="7132320" cy="3429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-839470</wp:posOffset>
            </wp:positionV>
            <wp:extent cx="7132320" cy="3429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-256540</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Consent of Independent Registered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-113665</wp:posOffset>
            </wp:positionV>
            <wp:extent cx="7132320" cy="2400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(WithumSmith+Brown,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179070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20" w:space="660"/>
            <w:col w:w="9640"/>
          </w:cols>
          <w:pgMar w:left="340" w:top="1440" w:right="639" w:bottom="1440" w:gutter="0" w:footer="0" w:header="0"/>
        </w:sectPr>
      </w:pPr>
    </w:p>
    <w:bookmarkStart w:id="166" w:name="page167"/>
    <w:bookmarkEnd w:id="166"/>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23.2*</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31.1*</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31.2*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101.INS*</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101.SCH*</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101.CAL*</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101.DEF*</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101.LAB*</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101.PRE*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Consent of Independent Registered Accounting Firm (Macias</w:t>
      </w:r>
    </w:p>
    <w:p>
      <w:pPr>
        <w:spacing w:after="0"/>
        <w:rPr>
          <w:sz w:val="20"/>
          <w:szCs w:val="20"/>
          <w:color w:val="auto"/>
        </w:rPr>
      </w:pPr>
      <w:r>
        <w:rPr>
          <w:rFonts w:ascii="Times New Roman" w:cs="Times New Roman" w:eastAsia="Times New Roman" w:hAnsi="Times New Roman"/>
          <w:sz w:val="16"/>
          <w:szCs w:val="16"/>
          <w:u w:val="single" w:color="auto"/>
          <w:color w:val="0000FF"/>
        </w:rPr>
        <w:t>Gini &amp; O’Connell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Executive Officer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-113665</wp:posOffset>
            </wp:positionV>
            <wp:extent cx="7132320" cy="4457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Securities Exchange Act of 1934 Rule 13a-14(a) or 15-14(a),</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as adopted pursuant to Section 302 of the Sarbanes-Oxley</w:t>
      </w:r>
    </w:p>
    <w:p>
      <w:pPr>
        <w:spacing w:after="0"/>
        <w:rPr>
          <w:sz w:val="20"/>
          <w:szCs w:val="20"/>
          <w:color w:val="auto"/>
        </w:rPr>
      </w:pPr>
      <w:r>
        <w:rPr>
          <w:rFonts w:ascii="Times New Roman" w:cs="Times New Roman" w:eastAsia="Times New Roman" w:hAnsi="Times New Roman"/>
          <w:sz w:val="16"/>
          <w:szCs w:val="16"/>
          <w:u w:val="single" w:color="auto"/>
          <w:color w:val="0000FF"/>
        </w:rPr>
        <w:t>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Financial Officer pursuant to</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Securities Exchange Act of 1934 Rule 13a-14(a) or 15-14(a),</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as adopted pursuant to Section 302 of the Sarbanes-Oxley</w:t>
      </w:r>
    </w:p>
    <w:p>
      <w:pPr>
        <w:spacing w:after="0"/>
        <w:rPr>
          <w:sz w:val="20"/>
          <w:szCs w:val="20"/>
          <w:color w:val="auto"/>
        </w:rPr>
      </w:pPr>
      <w:r>
        <w:rPr>
          <w:rFonts w:ascii="Times New Roman" w:cs="Times New Roman" w:eastAsia="Times New Roman" w:hAnsi="Times New Roman"/>
          <w:sz w:val="16"/>
          <w:szCs w:val="16"/>
          <w:u w:val="single" w:color="auto"/>
          <w:color w:val="0000FF"/>
        </w:rPr>
        <w:t>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Certifications pursuant to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-113665</wp:posOffset>
            </wp:positionV>
            <wp:extent cx="7132320" cy="4457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Rule 13a-14(b) or 15d-14(b) and 18 U.S.C. Section 1350, as</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adopted pursuant to Section 302 of the Sarbanes-Oxley Act</w:t>
      </w:r>
    </w:p>
    <w:p>
      <w:pPr>
        <w:spacing w:after="0"/>
        <w:rPr>
          <w:sz w:val="20"/>
          <w:szCs w:val="20"/>
          <w:color w:val="auto"/>
        </w:rPr>
      </w:pPr>
      <w:r>
        <w:rPr>
          <w:rFonts w:ascii="Times New Roman" w:cs="Times New Roman" w:eastAsia="Times New Roman" w:hAnsi="Times New Roman"/>
          <w:sz w:val="16"/>
          <w:szCs w:val="16"/>
          <w:u w:val="single" w:color="auto"/>
          <w:color w:val="0000FF"/>
        </w:rPr>
        <w:t>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w:t>
      </w:r>
    </w:p>
    <w:p>
      <w:pPr>
        <w:spacing w:after="0" w:line="211" w:lineRule="auto"/>
        <w:rPr>
          <w:sz w:val="20"/>
          <w:szCs w:val="20"/>
          <w:color w:val="auto"/>
        </w:rPr>
      </w:pPr>
      <w:r>
        <w:rPr>
          <w:rFonts w:ascii="Times New Roman" w:cs="Times New Roman" w:eastAsia="Times New Roman" w:hAnsi="Times New Roman"/>
          <w:sz w:val="16"/>
          <w:szCs w:val="16"/>
          <w:color w:val="auto"/>
        </w:rPr>
        <w:t>does not appear in the Interactive Data File because its</w:t>
      </w:r>
    </w:p>
    <w:p>
      <w:pPr>
        <w:spacing w:after="0"/>
        <w:rPr>
          <w:sz w:val="20"/>
          <w:szCs w:val="20"/>
          <w:color w:val="auto"/>
        </w:rPr>
      </w:pPr>
      <w:r>
        <w:rPr>
          <w:rFonts w:ascii="Times New Roman" w:cs="Times New Roman" w:eastAsia="Times New Roman" w:hAnsi="Times New Roman"/>
          <w:sz w:val="16"/>
          <w:szCs w:val="16"/>
          <w:color w:val="auto"/>
        </w:rPr>
        <w:t>XBRL tags are embedded within the Inline XBRL 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-116205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-113665</wp:posOffset>
            </wp:positionV>
            <wp:extent cx="7132320" cy="2400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-116205</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p>
      <w:pPr>
        <w:spacing w:after="0"/>
        <w:rPr>
          <w:sz w:val="20"/>
          <w:szCs w:val="20"/>
          <w:color w:val="auto"/>
        </w:rPr>
      </w:pPr>
      <w:r>
        <w:rPr>
          <w:rFonts w:ascii="Times New Roman" w:cs="Times New Roman" w:eastAsia="Times New Roman" w:hAnsi="Times New Roman"/>
          <w:sz w:val="16"/>
          <w:szCs w:val="16"/>
          <w:color w:val="auto"/>
        </w:rPr>
        <w:t>and contained in Exhibit 101)</w:t>
      </w:r>
    </w:p>
    <w:p>
      <w:pPr>
        <w:spacing w:after="0" w:line="283" w:lineRule="exact"/>
        <w:rPr>
          <w:sz w:val="20"/>
          <w:szCs w:val="20"/>
          <w:color w:val="auto"/>
        </w:rPr>
      </w:pPr>
    </w:p>
    <w:p>
      <w:pPr>
        <w:sectPr>
          <w:pgSz w:w="11900" w:h="16838" w:orient="portrait"/>
          <w:cols w:equalWidth="0" w:num="2">
            <w:col w:w="720" w:space="600"/>
            <w:col w:w="9840"/>
          </w:cols>
          <w:pgMar w:left="320" w:top="1440" w:right="419" w:bottom="1440" w:gutter="0" w:footer="0" w:header="0"/>
        </w:sectPr>
      </w:pPr>
    </w:p>
    <w:p>
      <w:pPr>
        <w:ind w:left="600" w:hanging="268"/>
        <w:spacing w:after="0"/>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Filed herewith.</w:t>
      </w:r>
    </w:p>
    <w:p>
      <w:pPr>
        <w:spacing w:after="0" w:line="50" w:lineRule="exact"/>
        <w:rPr>
          <w:sz w:val="20"/>
          <w:szCs w:val="20"/>
          <w:color w:val="auto"/>
        </w:rPr>
      </w:pPr>
    </w:p>
    <w:p>
      <w:pPr>
        <w:ind w:left="600" w:hanging="268"/>
        <w:spacing w:after="0"/>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management contract or compensatory plan, contract, or arrangement.</w:t>
      </w:r>
    </w:p>
    <w:p>
      <w:pPr>
        <w:spacing w:after="0" w:line="63" w:lineRule="exact"/>
        <w:rPr>
          <w:sz w:val="20"/>
          <w:szCs w:val="20"/>
          <w:color w:val="auto"/>
        </w:rPr>
      </w:pPr>
    </w:p>
    <w:p>
      <w:pPr>
        <w:ind w:left="660" w:hanging="328"/>
        <w:spacing w:after="0" w:line="268" w:lineRule="auto"/>
        <w:tabs>
          <w:tab w:leader="none" w:pos="60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9" w:lineRule="exact"/>
        <w:rPr>
          <w:sz w:val="20"/>
          <w:szCs w:val="20"/>
          <w:color w:val="auto"/>
        </w:rPr>
      </w:pPr>
    </w:p>
    <w:p>
      <w:pPr>
        <w:ind w:left="660" w:right="480" w:hanging="328"/>
        <w:spacing w:after="0" w:line="298" w:lineRule="auto"/>
        <w:tabs>
          <w:tab w:leader="none" w:pos="57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have been omitted in compliance with Regulation S-K Item 601(a)(5).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67" w:name="page168"/>
    <w:bookmarkEnd w:id="16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8" w:name="page169"/>
    <w:bookmarkEnd w:id="16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202" w:lineRule="exact"/>
        <w:rPr>
          <w:sz w:val="20"/>
          <w:szCs w:val="20"/>
          <w:color w:val="auto"/>
        </w:rPr>
      </w:pPr>
    </w:p>
    <w:p>
      <w:pPr>
        <w:ind w:left="282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Samuel Brill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26035</wp:posOffset>
            </wp:positionV>
            <wp:extent cx="30772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Samuel Brill</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 Director</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March 12, 2026</w:t>
      </w: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Ascend Wellness Holdings, Inc. and in the capacities and on the dates indicated.</w:t>
      </w:r>
    </w:p>
    <w:p>
      <w:pPr>
        <w:spacing w:after="0" w:line="135" w:lineRule="exact"/>
        <w:rPr>
          <w:sz w:val="20"/>
          <w:szCs w:val="20"/>
          <w:color w:val="auto"/>
        </w:rPr>
      </w:pPr>
    </w:p>
    <w:p>
      <w:pPr>
        <w:ind w:left="282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Samuel Brill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26035</wp:posOffset>
            </wp:positionV>
            <wp:extent cx="307721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Samuel Brill</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 Director</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March 12, 2026</w:t>
      </w:r>
    </w:p>
    <w:p>
      <w:pPr>
        <w:sectPr>
          <w:pgSz w:w="11900" w:h="16838" w:orient="portrait"/>
          <w:cols w:equalWidth="0" w:num="1">
            <w:col w:w="11240"/>
          </w:cols>
          <w:pgMar w:left="320" w:top="1440" w:right="339" w:bottom="1440" w:gutter="0" w:footer="0" w:header="0"/>
        </w:sectPr>
      </w:pPr>
    </w:p>
    <w:p>
      <w:pPr>
        <w:spacing w:after="0" w:line="30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 Roman Nemchenko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Roman Nemchenko</w:t>
      </w:r>
    </w:p>
    <w:p>
      <w:pPr>
        <w:spacing w:after="0" w:line="27"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March 12, 2026</w:t>
      </w:r>
    </w:p>
    <w:p>
      <w:pPr>
        <w:spacing w:after="0" w:line="2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 Francis Perullo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Francis Perullo</w:t>
      </w:r>
    </w:p>
    <w:p>
      <w:pPr>
        <w:spacing w:after="0" w:line="27"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President and Director</w:t>
      </w:r>
    </w:p>
    <w:p>
      <w:pPr>
        <w:spacing w:after="0" w:line="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March 12, 2026</w:t>
      </w:r>
    </w:p>
    <w:p>
      <w:pPr>
        <w:spacing w:after="0" w:line="2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 Joshua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Joshua Gold</w:t>
      </w:r>
    </w:p>
    <w:p>
      <w:pPr>
        <w:spacing w:after="0" w:line="27"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March 12, 2026</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Abner Kurtin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8890</wp:posOffset>
            </wp:positionV>
            <wp:extent cx="27432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Abner Kurtin</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Executive Chairman, Founder, and</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March 12, 2026</w:t>
      </w:r>
    </w:p>
    <w:p>
      <w:pPr>
        <w:spacing w:after="0" w:line="2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Scott Swid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8890</wp:posOffset>
            </wp:positionV>
            <wp:extent cx="27432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Scott Swid</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March 12, 2026</w:t>
      </w: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 Julie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8890</wp:posOffset>
            </wp:positionV>
            <wp:extent cx="27432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Julie Francis</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ectPr>
          <w:pgSz w:w="11900" w:h="16838" w:orient="portrait"/>
          <w:cols w:equalWidth="0" w:num="2">
            <w:col w:w="7100" w:space="720"/>
            <w:col w:w="34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9" w:name="page170"/>
    <w:bookmarkEnd w:id="169"/>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Supplemental Information to be Furnished with Reports Filed Pursuant to Section 15(d) of the Act by Registrants Which Have Not Registered Securities Pursuant to Section 12 of the Act: </w:t>
      </w:r>
      <w:r>
        <w:rPr>
          <w:rFonts w:ascii="Times New Roman" w:cs="Times New Roman" w:eastAsia="Times New Roman" w:hAnsi="Times New Roman"/>
          <w:sz w:val="18"/>
          <w:szCs w:val="18"/>
          <w:color w:val="auto"/>
        </w:rPr>
        <w:t>None.</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annual report to security holders covering the registrant’s last fiscal year or proxy material with respect to any meeting of securities holders has been sent to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166</w:t>
      </w:r>
    </w:p>
    <w:p>
      <w:pPr>
        <w:sectPr>
          <w:pgSz w:w="11900" w:h="16838" w:orient="portrait"/>
          <w:cols w:equalWidth="0" w:num="1">
            <w:col w:w="11240"/>
          </w:cols>
          <w:pgMar w:left="320" w:top="144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AMENDED AND RESTATED EMPLOYMENT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FIRST AMENDMENT TO the AMENDED AND RESTATED EMPLOYMENT AGREEMENT, dated March 10, 2025 (the “Agreement”), is made and entered into as of March 10, 2026 (“Amendment No. 1 Effective Date”) by and between Ascend Wellness Holdings, Inc., a Delaware corporation (the “Company”), and Abner Kurtin (the “Executive” and together with the Company, the “Parties”, and each a “Party”).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6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the Company and Executive previously entered into the Agreement, The Parties entered into the Agreement, pursuant to which the Executive serves as a member of 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and as Executive Chairman;</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term of the Agreement expires on March 31, 2026; and</w:t>
      </w:r>
    </w:p>
    <w:p>
      <w:pPr>
        <w:spacing w:after="0" w:line="17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Parties desire to extend the term of the Agreement and to amend certain other terms of the Agreement, as set forth below, in accordance with Section 13 of the Agreement.</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mutual covenants, terms and conditions set forth herein, and for other good and valuable consideration, the receipt and sufficiency of which are hereby acknowledged, the Parties agree that the Agreement is amended as follows:</w:t>
      </w:r>
    </w:p>
    <w:p>
      <w:pPr>
        <w:spacing w:after="0" w:line="123"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Capitalized terms used but not defined in this Amendment have the meanings set forth in the Agreement.</w:t>
      </w:r>
    </w:p>
    <w:p>
      <w:pPr>
        <w:spacing w:after="0" w:line="17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Amendment to Definition of Termination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Parties agree that the Termination Date shall be extended to March 31, 2027.</w:t>
      </w:r>
    </w:p>
    <w:p>
      <w:pPr>
        <w:spacing w:after="0" w:line="173"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4, Compensation and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is amended as follows:</w:t>
      </w:r>
    </w:p>
    <w:p>
      <w:pPr>
        <w:spacing w:after="0" w:line="179" w:lineRule="exact"/>
        <w:rPr>
          <w:rFonts w:ascii="Times New Roman" w:cs="Times New Roman" w:eastAsia="Times New Roman" w:hAnsi="Times New Roman"/>
          <w:sz w:val="20"/>
          <w:szCs w:val="20"/>
          <w:color w:val="auto"/>
        </w:rPr>
      </w:pPr>
    </w:p>
    <w:p>
      <w:pPr>
        <w:ind w:left="660" w:hanging="4"/>
        <w:spacing w:after="0" w:line="269" w:lineRule="auto"/>
        <w:tabs>
          <w:tab w:leader="none" w:pos="112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Effective as of the Amendment No. 1 Effective Date,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xml:space="preserve"> is hereby deleted in its entirety and replaced with the following:</w:t>
      </w:r>
    </w:p>
    <w:p>
      <w:pPr>
        <w:spacing w:after="0" w:line="118" w:lineRule="exact"/>
        <w:rPr>
          <w:rFonts w:ascii="Times New Roman" w:cs="Times New Roman" w:eastAsia="Times New Roman" w:hAnsi="Times New Roman"/>
          <w:sz w:val="20"/>
          <w:szCs w:val="20"/>
          <w:color w:val="auto"/>
        </w:rPr>
      </w:pPr>
    </w:p>
    <w:p>
      <w:pPr>
        <w:jc w:val="both"/>
        <w:ind w:left="1620" w:hanging="316"/>
        <w:spacing w:after="0" w:line="261" w:lineRule="auto"/>
        <w:tabs>
          <w:tab w:leader="none" w:pos="1644"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shall pay the Executive a base salary at the rate of $175,000 per annum (the “Base Salary”). The Executive’s Base Salary shall be payable in accordance with the payroll practices of the Company for its executives and subject to increase from time to time by the Board, in its sole discretion.</w:t>
      </w:r>
    </w:p>
    <w:p>
      <w:pPr>
        <w:spacing w:after="0" w:line="127"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Amendment No. 1 Effective Date, the following Sections 4(e) and 4(f) are hereby added to the Agreement:</w:t>
      </w:r>
    </w:p>
    <w:p>
      <w:pPr>
        <w:spacing w:after="0" w:line="161" w:lineRule="exact"/>
        <w:rPr>
          <w:rFonts w:ascii="Times New Roman" w:cs="Times New Roman" w:eastAsia="Times New Roman" w:hAnsi="Times New Roman"/>
          <w:sz w:val="20"/>
          <w:szCs w:val="20"/>
          <w:color w:val="auto"/>
        </w:rPr>
      </w:pPr>
    </w:p>
    <w:p>
      <w:pPr>
        <w:jc w:val="both"/>
        <w:ind w:left="1620" w:hanging="316"/>
        <w:spacing w:after="0" w:line="258" w:lineRule="auto"/>
        <w:tabs>
          <w:tab w:leader="none" w:pos="1685"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RSU Grant</w:t>
      </w:r>
      <w:r>
        <w:rPr>
          <w:rFonts w:ascii="Times New Roman" w:cs="Times New Roman" w:eastAsia="Times New Roman" w:hAnsi="Times New Roman"/>
          <w:sz w:val="20"/>
          <w:szCs w:val="20"/>
          <w:color w:val="auto"/>
        </w:rPr>
        <w:t>. The Executive will be granted a Restricted Stock Unit (“RSU”) award equal to $175,000 pursuant to the terms of the Ascend Wellness Holdings, Inc. 2021 Stock Incentive Plan (the “Plan”) and subject to the terms and conditions of the applicable award agreement (“RSU Grant”). The RSU Grant shall vest in quarterly increments over one year from the grant date, subject to the terms and condition of the applicable award agreement and the Plan.</w:t>
      </w:r>
    </w:p>
    <w:p>
      <w:pPr>
        <w:spacing w:after="0" w:line="131" w:lineRule="exact"/>
        <w:rPr>
          <w:rFonts w:ascii="Times New Roman" w:cs="Times New Roman" w:eastAsia="Times New Roman" w:hAnsi="Times New Roman"/>
          <w:sz w:val="20"/>
          <w:szCs w:val="20"/>
          <w:color w:val="auto"/>
        </w:rPr>
      </w:pPr>
    </w:p>
    <w:p>
      <w:pPr>
        <w:ind w:left="1620" w:hanging="316"/>
        <w:spacing w:after="0" w:line="269" w:lineRule="auto"/>
        <w:tabs>
          <w:tab w:leader="none" w:pos="1636"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One Time Cash Payment</w:t>
      </w:r>
      <w:r>
        <w:rPr>
          <w:rFonts w:ascii="Times New Roman" w:cs="Times New Roman" w:eastAsia="Times New Roman" w:hAnsi="Times New Roman"/>
          <w:sz w:val="20"/>
          <w:szCs w:val="20"/>
          <w:color w:val="auto"/>
        </w:rPr>
        <w:t>. Effective as of the Amendment No. 1 Effective Date, the Company shall pay the Executive a one-time cash payment of $70,000.00.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71" w:name="page172"/>
    <w:bookmarkEnd w:id="171"/>
    <w:p>
      <w:pPr>
        <w:ind w:left="360" w:hanging="352"/>
        <w:spacing w:after="0"/>
        <w:tabs>
          <w:tab w:leader="none" w:pos="36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Effect of Amendment</w:t>
      </w:r>
      <w:r>
        <w:rPr>
          <w:rFonts w:ascii="Times New Roman" w:cs="Times New Roman" w:eastAsia="Times New Roman" w:hAnsi="Times New Roman"/>
          <w:sz w:val="20"/>
          <w:szCs w:val="20"/>
          <w:color w:val="auto"/>
        </w:rPr>
        <w:t>. Except as expressly provided in this Amendment, all of the terms and provisions of the Agreement are and will remain in full force and effect and are hereby ratified and confirmed by the Parties. Without limiting the generality of the foregoing, the amendments contained herein will not be construed as an amendment to or waiver of any other provision of the Agreement. On and after the date first written above, each reference in the Agreement to “this Agreement,” “the Agreement,” “hereunder,” “hereof,” “herein” or words of like import will mean and be a reference to the Agreement as amended by this Amendment.</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multiple counterparts by the Parties hereto. All counterparts so executed shall constitute one agreement binding upon all Parties, notwithstanding that all Parties are not signatories to the original or the same counterpart. Each counterpart shall be deemed an original to this Amendment, all of which shall constitute one agreement to be valid as of the date of this Agreement. Documents executed, scanned and transmitted electronically and electronic signatures shall be deemed original signatures for purposes of this Agreement and all matters related thereto, with such scanned and electronic signatures having the same legal effect as original signatures. This Amendment, any other document necessary for the consummation of the transaction contemplated by this Agreement may be accepted, executed or agreed to through the use of an electronic signature in accordance with the Electronic Signatures in Global and National Commerce Act (“</w:t>
      </w:r>
      <w:r>
        <w:rPr>
          <w:rFonts w:ascii="Times New Roman" w:cs="Times New Roman" w:eastAsia="Times New Roman" w:hAnsi="Times New Roman"/>
          <w:sz w:val="20"/>
          <w:szCs w:val="20"/>
          <w:u w:val="single" w:color="auto"/>
          <w:color w:val="auto"/>
        </w:rPr>
        <w:t>E-Sign Act</w:t>
      </w:r>
      <w:r>
        <w:rPr>
          <w:rFonts w:ascii="Times New Roman" w:cs="Times New Roman" w:eastAsia="Times New Roman" w:hAnsi="Times New Roman"/>
          <w:sz w:val="20"/>
          <w:szCs w:val="20"/>
          <w:color w:val="auto"/>
        </w:rPr>
        <w:t>”), Title 15, United States Code, Sections 7001 et seq., the Uniform Electronic Transaction Act (“</w:t>
      </w:r>
      <w:r>
        <w:rPr>
          <w:rFonts w:ascii="Times New Roman" w:cs="Times New Roman" w:eastAsia="Times New Roman" w:hAnsi="Times New Roman"/>
          <w:sz w:val="20"/>
          <w:szCs w:val="20"/>
          <w:u w:val="single" w:color="auto"/>
          <w:color w:val="auto"/>
        </w:rPr>
        <w:t>UETA</w:t>
      </w:r>
      <w:r>
        <w:rPr>
          <w:rFonts w:ascii="Times New Roman" w:cs="Times New Roman" w:eastAsia="Times New Roman" w:hAnsi="Times New Roman"/>
          <w:sz w:val="20"/>
          <w:szCs w:val="20"/>
          <w:color w:val="auto"/>
        </w:rPr>
        <w:t>”) and any applicable state law. Any document accepted, executed or agreed to in conformity with such laws will be binding on each party as if it were physically executed.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Amendment as of the day and year written above.</w:t>
      </w:r>
    </w:p>
    <w:p>
      <w:pPr>
        <w:spacing w:after="0" w:line="27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THE EXECUTIVE</w:t>
      </w:r>
    </w:p>
    <w:p>
      <w:pPr>
        <w:spacing w:after="0" w:line="2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Abner Kurtin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17145</wp:posOffset>
            </wp:positionV>
            <wp:extent cx="30689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Abner Kurtin</w:t>
      </w:r>
    </w:p>
    <w:p>
      <w:pPr>
        <w:spacing w:after="0" w:line="28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9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297" w:lineRule="exact"/>
        <w:rPr>
          <w:sz w:val="20"/>
          <w:szCs w:val="20"/>
          <w:color w:val="auto"/>
        </w:rPr>
      </w:pPr>
    </w:p>
    <w:tbl>
      <w:tblPr>
        <w:tblLayout w:type="fixed"/>
        <w:tblInd w:w="51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Brill</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Amended and Restated Executive Employment Agreement</w:t>
      </w:r>
    </w:p>
    <w:p>
      <w:pPr>
        <w:sectPr>
          <w:pgSz w:w="11900" w:h="16838" w:orient="portrait"/>
          <w:cols w:equalWidth="0" w:num="1">
            <w:col w:w="10000"/>
          </w:cols>
          <w:pgMar w:left="980" w:top="1409" w:right="9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List of Subsidiaries of Ascend Wellness Holdings, Inc.</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As of December 31, 2025</w:t>
      </w:r>
    </w:p>
    <w:p>
      <w:pPr>
        <w:sectPr>
          <w:pgSz w:w="11900" w:h="16838" w:orient="portrait"/>
          <w:cols w:equalWidth="0" w:num="1">
            <w:col w:w="10120"/>
          </w:cols>
          <w:pgMar w:left="1440" w:top="117"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9"/>
              </w:rPr>
              <w:t>Entity Legal Name</w:t>
            </w:r>
          </w:p>
        </w:tc>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r>
      <w:tr>
        <w:trPr>
          <w:trHeight w:val="20"/>
        </w:trPr>
        <w:tc>
          <w:tcPr>
            <w:tcW w:w="13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AGP Investments,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Mass, Inc.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Social Equity Investments,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Wellness Holdings, Inc.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AWH Pennsylvania,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Massgrow, Inc.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Jones Staffing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Rubino Ventures Staffing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MiLou Staffing,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Coast Staffing,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144 S. Randall Opco,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8380 Cermak Opco,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909 Rand Road Opco,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Illinois Holdings,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Illinois,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AWH Fairview Opco,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AWH Springfield OpCo,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Alternative Health Center Holdings,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Alternative Health Center,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HealthCentral,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InLabs III</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MOCA,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Springfield Partners II,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Homecoming Group,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Maryland 2,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Maryland,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 Pharms Limited Liability Company</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Mountain Care,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Devi Maryland Re Holding II,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Devi Maryland RE Holding,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Durjaya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Farmalogics Health And Wellness,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 MGMT GRP,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Mountain Holdings,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Athol Re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Friend Street Re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 Mass,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AWH MGMT GRP,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Jay Botanicals Holdings,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36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Jay Re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36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 MGMT GRP, LLC</w:t>
            </w:r>
          </w:p>
        </w:tc>
        <w:tc>
          <w:tcPr>
            <w:tcW w:w="10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Massachusetts</w:t>
            </w:r>
          </w:p>
        </w:tc>
      </w:tr>
    </w:tbl>
    <w:p>
      <w:pPr>
        <w:sectPr>
          <w:pgSz w:w="11900" w:h="16838" w:orient="portrait"/>
          <w:cols w:equalWidth="0" w:num="1">
            <w:col w:w="10119"/>
          </w:cols>
          <w:pgMar w:left="340" w:top="230" w:right="1440" w:bottom="487" w:gutter="0" w:footer="0" w:header="0"/>
        </w:sectPr>
      </w:pPr>
    </w:p>
    <w:bookmarkStart w:id="175" w:name="page176"/>
    <w:bookmarkEnd w:id="1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Massgrow,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 Real Estate,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Southcoast Apothecary,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AWHM,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FPAW Michigan 2,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MSP MGMT GRP,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TJM Enterprises,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2741 28th Street,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503 Century,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1336 Scribner,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TVP Grand Rapids,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Route 70 Opco,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 New Jersey,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 Franklin,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AWH NJ HOLDCO,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Jones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NJ MGMT GRP,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Coasting,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Mister Jones,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AWH New York,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 MGMT GRP,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 Ohio,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BCCO,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Ivy Ohio,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Hemma 2,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Hemma Operations,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Hemma,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Marichron Pharma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Marichron Properties,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 Cannabis Clinic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 MGMT GRP,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 Patient Access,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 Real Estate,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1206 - 1208 Recker Road,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830 Reedy St,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6019 Milan Rd,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AWH Pennsylvania 2,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 MGMT GRP,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Story of PA CR,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 VA, LLC</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ectPr>
          <w:pgSz w:w="11900" w:h="16838" w:orient="portrait"/>
          <w:cols w:equalWidth="0" w:num="2">
            <w:col w:w="4940" w:space="720"/>
            <w:col w:w="4459"/>
          </w:cols>
          <w:pgMar w:left="340" w:top="1440" w:right="1440" w:bottom="0" w:gutter="0" w:footer="0" w:header="0"/>
        </w:sectPr>
      </w:pPr>
    </w:p>
    <w:bookmarkStart w:id="177" w:name="page178"/>
    <w:bookmarkEnd w:id="1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333-274149, 333-268534 and 333-292300) and Form S-8 (Nos. 333-273807 and 333-257780) of Ascend Wellness Holdings, Inc. of our report dated March 12, 2026, relating to the consolidated financial statements of Ascend Wellness Holdings, Inc. as of and for the year ended December 31, 2025, which appears in this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ectPr>
          <w:pgSz w:w="11900" w:h="16838" w:orient="portrait"/>
          <w:cols w:equalWidth="0" w:num="1">
            <w:col w:w="11240"/>
          </w:cols>
          <w:pgMar w:left="320" w:top="117" w:right="339" w:bottom="1440" w:gutter="0" w:footer="0" w:header="0"/>
        </w:sectPr>
      </w:pPr>
    </w:p>
    <w:bookmarkStart w:id="179" w:name="page180"/>
    <w:bookmarkEnd w:id="179"/>
    <w:p>
      <w:pPr>
        <w:ind w:left="10140"/>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(Nos. 333-292300, 333-274149, and 333-268534)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333-273807 and 333-257780) of Ascend Wellness Holdings, Inc. of our report dated March 13, 2025, relating to the consolidated financial statements of Ascend Wellness Holdings, Inc. as of December 31, 2024 and the results of its operations and its cash flows for each of the two years in the period ended December 31, 2024, appearing in this Annual Report on Form 10-K for the year ended December 31, 2025.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Walnut Creek,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ectPr>
          <w:pgSz w:w="11900" w:h="16838" w:orient="portrait"/>
          <w:cols w:equalWidth="0" w:num="1">
            <w:col w:w="11240"/>
          </w:cols>
          <w:pgMar w:left="320" w:top="11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OF 1934 RULE 13a-14(a) OR 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Brill, certify that:</w:t>
      </w:r>
    </w:p>
    <w:p>
      <w:pPr>
        <w:spacing w:after="0" w:line="171"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Ascend Wellness Holdings,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Brill</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SECURITIES EXCHANGE ACT OF 1934 RULE 13a-14(a) OR 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Nemchenko, certify that:</w:t>
      </w:r>
    </w:p>
    <w:p>
      <w:pPr>
        <w:spacing w:after="0" w:line="171"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Ascend Wellness Holdings,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 Nemchenko</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Ascend Wellness Holdings, Inc. (the “Company”) for the year ended December 31, 2025, as filed with the Securities and Exchange Commission on the date hereof (the “Report”), Samuel Brill, Chief Executive Officer of the Company, and Roman Nemchenko,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6" w:lineRule="exact"/>
        <w:rPr>
          <w:sz w:val="20"/>
          <w:szCs w:val="20"/>
          <w:color w:val="auto"/>
        </w:rPr>
      </w:pPr>
    </w:p>
    <w:p>
      <w:pPr>
        <w:ind w:left="720" w:hanging="388"/>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7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Brill</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9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 Nemchenko</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lvl w:ilvl="1">
      <w:lvlJc w:val="left"/>
      <w:lvlText w:val="◦"/>
      <w:numFmt w:val="bullet"/>
      <w:start w:val="1"/>
    </w:lvl>
  </w:abstractNum>
  <w:abstractNum w:abstractNumId="9">
    <w:nsid w:val="2D517796"/>
    <w:multiLevelType w:val="hybridMultilevel"/>
    <w:lvl w:ilvl="0">
      <w:lvlJc w:val="left"/>
      <w:lvlText w:val="•"/>
      <w:numFmt w:val="bullet"/>
      <w:start w:val="1"/>
    </w:lvl>
    <w:lvl w:ilvl="1">
      <w:lvlJc w:val="left"/>
      <w:lvlText w:val="◦"/>
      <w:numFmt w:val="bullet"/>
      <w:start w:val="1"/>
    </w:lvl>
  </w:abstractNum>
  <w:abstractNum w:abstractNumId="10">
    <w:nsid w:val="580BD78F"/>
    <w:multiLevelType w:val="hybridMultilevel"/>
    <w:lvl w:ilvl="0">
      <w:lvlJc w:val="left"/>
      <w:lvlText w:val="•"/>
      <w:numFmt w:val="bullet"/>
      <w:start w:val="1"/>
    </w:lvl>
    <w:lvl w:ilvl="1">
      <w:lvlJc w:val="left"/>
      <w:lvlText w:val="◦"/>
      <w:numFmt w:val="bullet"/>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2"/>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1)"/>
      <w:numFmt w:val="decimal"/>
      <w:start w:val="9"/>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2"/>
    </w:lvl>
  </w:abstractNum>
  <w:abstractNum w:abstractNumId="37">
    <w:nsid w:val="374A3FE6"/>
    <w:multiLevelType w:val="hybridMultilevel"/>
    <w:lvl w:ilvl="0">
      <w:lvlJc w:val="left"/>
      <w:lvlText w:val="%1."/>
      <w:numFmt w:val="decimal"/>
      <w:start w:val="4"/>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6"/>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decimal"/>
      <w:start w:val="9"/>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13"/>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5"/>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lowerLetter"/>
      <w:start w:val="3"/>
    </w:lvl>
  </w:abstractNum>
  <w:abstractNum w:abstractNumId="59">
    <w:nsid w:val="2F305DEF"/>
    <w:multiLevelType w:val="hybridMultilevel"/>
    <w:lvl w:ilvl="0">
      <w:lvlJc w:val="left"/>
      <w:lvlText w:val="%1."/>
      <w:numFmt w:val="decimal"/>
      <w:start w:val="2"/>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5">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66">
    <w:nsid w:val="100F8FCA"/>
    <w:multiLevelType w:val="hybridMultilevel"/>
    <w:lvl w:ilvl="0">
      <w:lvlJc w:val="left"/>
      <w:lvlText w:val="%1."/>
      <w:numFmt w:val="decimal"/>
      <w:start w:val="4"/>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34" Type="http://schemas.openxmlformats.org/officeDocument/2006/relationships/hyperlink" Target="https://www.sec.gov/Archives/edgar/data/1756390/000162828021007411/exhibit22-sx1a2.htm" TargetMode="External"/><Relationship Id="rId235" Type="http://schemas.openxmlformats.org/officeDocument/2006/relationships/hyperlink" Target="https://www.sec.gov/Archives/edgar/data/1756390/000162828021007411/exhibit34-sx1a2.htm" TargetMode="External"/><Relationship Id="rId236" Type="http://schemas.openxmlformats.org/officeDocument/2006/relationships/hyperlink" Target="https://www.sec.gov/Archives/edgar/data/1756390/000162828021007411/exhibit35-sx1a2.htm" TargetMode="External"/><Relationship Id="rId237" Type="http://schemas.openxmlformats.org/officeDocument/2006/relationships/hyperlink" Target="https://www.sec.gov/Archives/edgar/data/1756390/000162828021013670/exhibit42-sx8.htm" TargetMode="External"/><Relationship Id="rId238" Type="http://schemas.openxmlformats.org/officeDocument/2006/relationships/hyperlink" Target="https://www.sec.gov/Archives/edgar/data/1756390/000162828023016903/exhibit101-05092023form8k.htm" TargetMode="External"/><Relationship Id="rId239" Type="http://schemas.openxmlformats.org/officeDocument/2006/relationships/hyperlink" Target="https://www.sec.gov/Archives/edgar/data/1756390/000162828021013670/exhibit43-sx8.htm" TargetMode="External"/><Relationship Id="rId240" Type="http://schemas.openxmlformats.org/officeDocument/2006/relationships/hyperlink" Target="https://www.sec.gov/Archives/edgar/data/1756390/000162828021006948/exhibit41-sx1a1.htm" TargetMode="External"/><Relationship Id="rId241" Type="http://schemas.openxmlformats.org/officeDocument/2006/relationships/hyperlink" Target="https://www.sec.gov/Archives/edgar/data/1756390/000162828021007411/exhibit42-sx1a2.htm" TargetMode="External"/><Relationship Id="rId242" Type="http://schemas.openxmlformats.org/officeDocument/2006/relationships/hyperlink" Target="https://www.sec.gov/Archives/edgar/data/1756390/000162828022022910/formofwarrantagreement.htm" TargetMode="External"/><Relationship Id="rId243" Type="http://schemas.openxmlformats.org/officeDocument/2006/relationships/hyperlink" Target="https://www.sec.gov/Archives/edgar/data/1756390/000162828024032485/awh-2024notesindentureex41.htm" TargetMode="External"/><Relationship Id="rId244" Type="http://schemas.openxmlformats.org/officeDocument/2006/relationships/hyperlink" Target="https://www.sec.gov/Archives/edgar/data/1756390/000162828024032485/ascend-guarantyex42toform8.htm" TargetMode="External"/><Relationship Id="rId245" Type="http://schemas.openxmlformats.org/officeDocument/2006/relationships/hyperlink" Target="https://www.sec.gov/Archives/edgar/data/1756390/000162828024032485/ascend-pledgeandsecurityag.htm" TargetMode="External"/><Relationship Id="rId246" Type="http://schemas.openxmlformats.org/officeDocument/2006/relationships/hyperlink" Target="https://www.sec.gov/Archives/edgar/data/1756390/000162828025001438/ex41firstsupplementalinden.htm" TargetMode="External"/><Relationship Id="rId247" Type="http://schemas.openxmlformats.org/officeDocument/2006/relationships/hyperlink" Target="https://www.sec.gov/Archives/edgar/data/1756390/000110465921112047/tm2126422d1_ex10-1.htm" TargetMode="External"/><Relationship Id="rId248" Type="http://schemas.openxmlformats.org/officeDocument/2006/relationships/hyperlink" Target="https://www.sec.gov/Archives/edgar/data/1756390/000162828024021713/exhibit101-amendmentno1toc.htm" TargetMode="External"/><Relationship Id="rId251" Type="http://schemas.openxmlformats.org/officeDocument/2006/relationships/hyperlink" Target="https://www.sec.gov/Archives/edgar/data/1756390/000162828025012668/exhibit103amendmentno2tocr.htm" TargetMode="External"/><Relationship Id="rId252" Type="http://schemas.openxmlformats.org/officeDocument/2006/relationships/hyperlink" Target="https://www.sec.gov/Archives/edgar/data/1756390/000162828025012668/exhibit104amendmentno3tocr.htm" TargetMode="External"/><Relationship Id="rId253" Type="http://schemas.openxmlformats.org/officeDocument/2006/relationships/hyperlink" Target="https://www.sec.gov/Archives/edgar/data/1756390/000162828021006948/exhibit104-sx1a1.htm" TargetMode="External"/><Relationship Id="rId254" Type="http://schemas.openxmlformats.org/officeDocument/2006/relationships/hyperlink" Target="https://www.sec.gov/Archives/edgar/data/1756390/000162828024021713/exhibit102-employmentagree.htm" TargetMode="External"/><Relationship Id="rId255" Type="http://schemas.openxmlformats.org/officeDocument/2006/relationships/hyperlink" Target="https://www.sec.gov/Archives/edgar/data/1756390/000162828024021713/exhibit103-employeeseparat.htm" TargetMode="External"/><Relationship Id="rId256" Type="http://schemas.openxmlformats.org/officeDocument/2006/relationships/hyperlink" Target="https://www.sec.gov/Archives/edgar/data/1756390/000162828024021713/exhibit104-employmentagree.htm" TargetMode="External"/><Relationship Id="rId257" Type="http://schemas.openxmlformats.org/officeDocument/2006/relationships/hyperlink" Target="https://www.sec.gov/Archives/edgar/data/1756390/000162828024021713/exhibit105-employeeseparat.htm" TargetMode="External"/><Relationship Id="rId258" Type="http://schemas.openxmlformats.org/officeDocument/2006/relationships/hyperlink" Target="https://www.sec.gov/Archives/edgar/data/1756390/000162828024047300/ex101-employmentagreementb.htm" TargetMode="External"/><Relationship Id="rId259" Type="http://schemas.openxmlformats.org/officeDocument/2006/relationships/hyperlink" Target="https://www.sec.gov/Archives/edgar/data/1756390/000162828024047300/ex102-employmentagreementb.htm" TargetMode="External"/><Relationship Id="rId260" Type="http://schemas.openxmlformats.org/officeDocument/2006/relationships/hyperlink" Target="https://www.sec.gov/Archives/edgar/data/1756390/000162828024047300/ex103-employmentagreementb.htm" TargetMode="External"/><Relationship Id="rId261" Type="http://schemas.openxmlformats.org/officeDocument/2006/relationships/hyperlink" Target="https://www.sec.gov/Archives/edgar/data/1756390/000162828025012668/exhibit1013amendedandresta.htm" TargetMode="External"/><Relationship Id="rId262" Type="http://schemas.openxmlformats.org/officeDocument/2006/relationships/hyperlink" Target="https://www.sec.gov/Archives/edgar/data/1756390/000162828021005806/exhibit1011.htm" TargetMode="External"/><Relationship Id="rId263" Type="http://schemas.openxmlformats.org/officeDocument/2006/relationships/hyperlink" Target="https://www.sec.gov/Archives/edgar/data/1756390/000162828021005806/exhibit1012.htm" TargetMode="External"/><Relationship Id="rId264" Type="http://schemas.openxmlformats.org/officeDocument/2006/relationships/hyperlink" Target="https://www.sec.gov/Archives/edgar/data/1756390/000162828021005806/exhibit1013.htm" TargetMode="External"/><Relationship Id="rId265" Type="http://schemas.openxmlformats.org/officeDocument/2006/relationships/hyperlink" Target="https://www.sec.gov/Archives/edgar/data/1756390/000162828022005776/awh12312021exhibit1013.htm" TargetMode="External"/><Relationship Id="rId266" Type="http://schemas.openxmlformats.org/officeDocument/2006/relationships/hyperlink" Target="https://www.sec.gov/Archives/edgar/data/1756390/000162828025014312/exhibit161toformdatedmarch.htm" TargetMode="External"/><Relationship Id="rId267" Type="http://schemas.openxmlformats.org/officeDocument/2006/relationships/hyperlink" Target="https://www.sec.gov/Archives/edgar/data/0001756390/000162828025012668/exhibit19insidertradingp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2026-03-12T16:39:20Z</dcterms:created>
  <dcterms:modified xsi:type="dcterms:W3CDTF">2026-03-12T16:39:20Z</dcterms:modified>
</cp:coreProperties>
</file>