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1169035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transition period from______ to______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ASCEND WELLNESS HOLDINGS,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Arial" w:cs="Arial" w:eastAsia="Arial" w:hAnsi="Arial"/>
                <w:sz w:val="18"/>
                <w:szCs w:val="18"/>
                <w:b w:val="1"/>
                <w:bCs w:val="1"/>
                <w:color w:val="auto"/>
              </w:rPr>
              <w:t>83-0602006</w:t>
            </w:r>
          </w:p>
        </w:tc>
        <w:tc>
          <w:tcPr>
            <w:tcW w:w="200" w:type="dxa"/>
            <w:vAlign w:val="bottom"/>
          </w:tcPr>
          <w:p>
            <w:pPr>
              <w:spacing w:after="0"/>
              <w:rPr>
                <w:sz w:val="20"/>
                <w:szCs w:val="20"/>
                <w:color w:val="auto"/>
              </w:rPr>
            </w:pPr>
          </w:p>
        </w:tc>
      </w:tr>
      <w:tr>
        <w:trPr>
          <w:trHeight w:val="256"/>
        </w:trPr>
        <w:tc>
          <w:tcPr>
            <w:tcW w:w="220" w:type="dxa"/>
            <w:vAlign w:val="bottom"/>
          </w:tcPr>
          <w:p>
            <w:pPr>
              <w:spacing w:after="0"/>
              <w:rPr>
                <w:sz w:val="22"/>
                <w:szCs w:val="22"/>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(State or other jurisdiction of</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120" w:type="dxa"/>
            <w:vAlign w:val="bottom"/>
            <w:gridSpan w:val="2"/>
          </w:tcPr>
          <w:p>
            <w:pPr>
              <w:jc w:val="center"/>
              <w:ind w:left="10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2"/>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1411 Broadway</w:t>
            </w: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1"/>
              </w:rPr>
              <w:t>16th Floor</w:t>
            </w:r>
          </w:p>
        </w:tc>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New York, NY 10018</w:t>
            </w:r>
          </w:p>
        </w:tc>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6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(646) 661-7600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0" w:type="dxa"/>
            <w:vAlign w:val="bottom"/>
            <w:gridSpan w:val="7"/>
          </w:tcPr>
          <w:p>
            <w:pPr>
              <w:jc w:val="center"/>
              <w:ind w:right="344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18"/>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88"/>
              </w:rPr>
              <w:t>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600" w:type="dxa"/>
            <w:vAlign w:val="bottom"/>
            <w:gridSpan w:val="9"/>
          </w:tcPr>
          <w:p>
            <w:pPr>
              <w:jc w:val="center"/>
              <w:ind w:right="2620"/>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24"/>
        </w:trPr>
        <w:tc>
          <w:tcPr>
            <w:tcW w:w="7120" w:type="dxa"/>
            <w:vAlign w:val="bottom"/>
            <w:gridSpan w:val="9"/>
          </w:tcPr>
          <w:p>
            <w:pPr>
              <w:spacing w:after="0"/>
              <w:rPr>
                <w:sz w:val="20"/>
                <w:szCs w:val="20"/>
                <w:color w:val="auto"/>
              </w:rPr>
            </w:pPr>
            <w:r>
              <w:rPr>
                <w:rFonts w:ascii="Arial" w:cs="Arial" w:eastAsia="Arial" w:hAnsi="Arial"/>
                <w:sz w:val="18"/>
                <w:szCs w:val="18"/>
                <w:color w:val="auto"/>
              </w:rPr>
              <w:t>Securities registered pursuant to Section 12(b) of the Act: None</w:t>
            </w:r>
          </w:p>
        </w:tc>
        <w:tc>
          <w:tcPr>
            <w:tcW w:w="39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78"/>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Arial" w:cs="Arial" w:eastAsia="Arial" w:hAnsi="Arial"/>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ind w:left="840"/>
              <w:spacing w:after="0"/>
              <w:rPr>
                <w:sz w:val="20"/>
                <w:szCs w:val="20"/>
                <w:color w:val="auto"/>
              </w:rPr>
            </w:pPr>
            <w:r>
              <w:rPr>
                <w:rFonts w:ascii="Arial" w:cs="Arial" w:eastAsia="Arial" w:hAnsi="Arial"/>
                <w:sz w:val="18"/>
                <w:szCs w:val="18"/>
                <w:color w:val="auto"/>
              </w:rPr>
              <w:t>Trading Symbol(s)</w:t>
            </w:r>
          </w:p>
        </w:tc>
        <w:tc>
          <w:tcPr>
            <w:tcW w:w="4120" w:type="dxa"/>
            <w:vAlign w:val="bottom"/>
            <w:gridSpan w:val="2"/>
          </w:tcPr>
          <w:p>
            <w:pPr>
              <w:ind w:left="8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50"/>
        </w:trPr>
        <w:tc>
          <w:tcPr>
            <w:tcW w:w="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9"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jc w:val="both"/>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As of November 9, 2022, there were 188,523,230 shares of the registrant’s Class A common stock, par value $0.001, and 65,000 shares of the registrant’s Class B common stock, par value $0.001,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FORWARD-LOOKING STATEMENTS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 Condensed Consolidated Financial Statements (Unaudited)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4. Controls and Procedures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 Legal Proceedings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1A. Risk Factors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3.</w:t>
            </w:r>
          </w:p>
        </w:tc>
        <w:tc>
          <w:tcPr>
            <w:tcW w:w="1048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4.</w:t>
            </w:r>
          </w:p>
        </w:tc>
        <w:tc>
          <w:tcPr>
            <w:tcW w:w="10480" w:type="dxa"/>
            <w:vAlign w:val="bottom"/>
          </w:tcPr>
          <w:p>
            <w:pPr>
              <w:ind w:left="20"/>
              <w:spacing w:after="0"/>
              <w:rPr>
                <w:sz w:val="20"/>
                <w:szCs w:val="20"/>
                <w:color w:val="auto"/>
              </w:rPr>
            </w:pPr>
            <w:r>
              <w:rPr>
                <w:rFonts w:ascii="Arial" w:cs="Arial" w:eastAsia="Arial" w:hAnsi="Arial"/>
                <w:sz w:val="18"/>
                <w:szCs w:val="18"/>
                <w:color w:val="auto"/>
              </w:rPr>
              <w:t>Mine Safety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5.</w:t>
            </w:r>
          </w:p>
        </w:tc>
        <w:tc>
          <w:tcPr>
            <w:tcW w:w="1048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ind w:left="20"/>
              <w:spacing w:after="0"/>
              <w:rPr>
                <w:sz w:val="20"/>
                <w:szCs w:val="20"/>
                <w:color w:val="auto"/>
              </w:rPr>
            </w:pPr>
            <w:r>
              <w:rPr>
                <w:rFonts w:ascii="Arial" w:cs="Arial" w:eastAsia="Arial" w:hAnsi="Arial"/>
                <w:sz w:val="18"/>
                <w:szCs w:val="18"/>
                <w:color w:val="auto"/>
                <w:w w:val="94"/>
              </w:rPr>
              <w:t>Item 6.</w:t>
            </w:r>
          </w:p>
        </w:tc>
        <w:tc>
          <w:tcPr>
            <w:tcW w:w="10480" w:type="dxa"/>
            <w:vAlign w:val="bottom"/>
          </w:tcPr>
          <w:p>
            <w:pPr>
              <w:ind w:left="2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40" w:type="dxa"/>
            <w:vAlign w:val="bottom"/>
            <w:gridSpan w:val="2"/>
          </w:tcPr>
          <w:p>
            <w:pPr>
              <w:ind w:left="20"/>
              <w:spacing w:after="0"/>
              <w:rPr>
                <w:sz w:val="20"/>
                <w:szCs w:val="20"/>
                <w:color w:val="auto"/>
              </w:rPr>
            </w:pPr>
            <w:r>
              <w:rPr>
                <w:rFonts w:ascii="Arial" w:cs="Arial" w:eastAsia="Arial" w:hAnsi="Arial"/>
                <w:sz w:val="18"/>
                <w:szCs w:val="18"/>
                <w:b w:val="1"/>
                <w:bCs w:val="1"/>
                <w:color w:val="auto"/>
              </w:rPr>
              <w:t>SIGNATURES</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560" w:type="dxa"/>
            <w:vAlign w:val="bottom"/>
            <w:tcBorders>
              <w:bottom w:val="single" w:sz="8" w:color="9A9A9A"/>
            </w:tcBorders>
          </w:tcPr>
          <w:p>
            <w:pPr>
              <w:spacing w:after="0"/>
              <w:rPr>
                <w:sz w:val="24"/>
                <w:szCs w:val="24"/>
                <w:color w:val="auto"/>
              </w:rPr>
            </w:pPr>
          </w:p>
        </w:tc>
        <w:tc>
          <w:tcPr>
            <w:tcW w:w="10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Quarterly Report on Form 10-Q contains “forward-looking statements” regarding Ascend Wellness Holdings, Inc. and its subsidiaries (collectively referred to as “AWH,” “we,” “us,” “our,” or the “Company”).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1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shares of our Class A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voting control exercised by holders of Class B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open new dispensaries and cultivation facilities as anticipated;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potential future U.S. Food and Drug Administration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material acquisitions, dispositions and other strategic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adverse changes in the wholesale and retail prices;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pandemic; and</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 of general economic risks, such as the unemployment level, interest rates and inflation, and challenging global economic conditions.</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list of factors above is illustrative and by no means exhaustive. Additional information regarding these risks and other risks and uncertainties we face is contained in our Annual Report on Form 10-K for the year ended December 31, 2021 and in other reports we may file from time to time with the United States Securities and Exchange Commission and the applicable Canadian securities regulatory authorities (including all amendments to those reports). Although the Company has attempted to identify important factors that could cause actual results to differ materially from those contained in forward-looking statements, there may be other factors that cause results not to be as anticipated, estimated, or intended.</w:t>
      </w:r>
    </w:p>
    <w:p>
      <w:pPr>
        <w:spacing w:after="0" w:line="12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gridSpan w:val="2"/>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240" w:type="dxa"/>
            <w:vAlign w:val="bottom"/>
          </w:tcPr>
          <w:p>
            <w:pPr>
              <w:spacing w:after="0"/>
              <w:rPr>
                <w:sz w:val="14"/>
                <w:szCs w:val="14"/>
                <w:color w:val="auto"/>
              </w:rPr>
            </w:pP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172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91,393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155,481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ind w:left="22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13,376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2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92,064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ind w:left="220"/>
              <w:spacing w:after="0"/>
              <w:rPr>
                <w:sz w:val="20"/>
                <w:szCs w:val="20"/>
                <w:color w:val="auto"/>
              </w:rPr>
            </w:pPr>
            <w:r>
              <w:rPr>
                <w:rFonts w:ascii="Arial" w:cs="Arial" w:eastAsia="Arial" w:hAnsi="Arial"/>
                <w:sz w:val="14"/>
                <w:szCs w:val="14"/>
                <w:color w:val="auto"/>
              </w:rPr>
              <w:t>Notes receivable</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5,542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16,717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gridSpan w:val="2"/>
          </w:tcPr>
          <w:p>
            <w:pPr>
              <w:ind w:left="4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219,092</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258,012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268,456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239,656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109,085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103,958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186,426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43,566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42,967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Deferred tax assets, net</w:t>
            </w:r>
          </w:p>
        </w:tc>
        <w:tc>
          <w:tcPr>
            <w:tcW w:w="2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18,835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19,572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847,214</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723,436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Accounts payable and accrued liabilities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56,952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ind w:left="220"/>
              <w:spacing w:after="0"/>
              <w:rPr>
                <w:sz w:val="20"/>
                <w:szCs w:val="20"/>
                <w:color w:val="auto"/>
              </w:rPr>
            </w:pPr>
            <w:r>
              <w:rPr>
                <w:rFonts w:ascii="Arial" w:cs="Arial" w:eastAsia="Arial" w:hAnsi="Arial"/>
                <w:sz w:val="14"/>
                <w:szCs w:val="14"/>
                <w:color w:val="auto"/>
              </w:rPr>
              <w:t>Current portion of debt, net</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19,467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27,940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Operating lease liabilities, current</w:t>
            </w:r>
          </w:p>
        </w:tc>
        <w:tc>
          <w:tcPr>
            <w:tcW w:w="2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ind w:left="22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54,143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36,184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80" w:type="dxa"/>
            <w:vAlign w:val="bottom"/>
            <w:gridSpan w:val="2"/>
          </w:tcPr>
          <w:p>
            <w:pPr>
              <w:ind w:left="4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137,496</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117,395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Long-term debt, net</w:t>
            </w:r>
          </w:p>
        </w:tc>
        <w:tc>
          <w:tcPr>
            <w:tcW w:w="24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290,969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230,846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Operating lease liabilities, noncurrent</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229,838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197,295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Deferred tax liabilities, net</w:t>
            </w:r>
          </w:p>
        </w:tc>
        <w:tc>
          <w:tcPr>
            <w:tcW w:w="24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14,842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673,145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546,959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Commitments and contingencies (Note 15)</w:t>
            </w:r>
          </w:p>
        </w:tc>
        <w:tc>
          <w:tcPr>
            <w:tcW w:w="2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180" w:type="dxa"/>
            <w:vAlign w:val="bottom"/>
            <w:gridSpan w:val="2"/>
          </w:tcPr>
          <w:p>
            <w:pPr>
              <w:ind w:left="20"/>
              <w:spacing w:after="0" w:line="143" w:lineRule="exact"/>
              <w:rPr>
                <w:sz w:val="20"/>
                <w:szCs w:val="20"/>
                <w:color w:val="auto"/>
              </w:rPr>
            </w:pPr>
            <w:r>
              <w:rPr>
                <w:rFonts w:ascii="Arial" w:cs="Arial" w:eastAsia="Arial" w:hAnsi="Arial"/>
                <w:sz w:val="14"/>
                <w:szCs w:val="14"/>
                <w:color w:val="auto"/>
                <w:w w:val="94"/>
              </w:rPr>
              <w:t>Preferred stock, $0.001 par value per share; 10,000 shares authorized, none issued and outstanding as of September 30,</w:t>
            </w:r>
          </w:p>
        </w:tc>
        <w:tc>
          <w:tcPr>
            <w:tcW w:w="240" w:type="dxa"/>
            <w:vAlign w:val="bottom"/>
          </w:tcPr>
          <w:p>
            <w:pPr>
              <w:spacing w:after="0"/>
              <w:rPr>
                <w:sz w:val="12"/>
                <w:szCs w:val="12"/>
                <w:color w:val="auto"/>
              </w:rPr>
            </w:pPr>
          </w:p>
        </w:tc>
        <w:tc>
          <w:tcPr>
            <w:tcW w:w="1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80" w:type="dxa"/>
            <w:vAlign w:val="bottom"/>
            <w:gridSpan w:val="2"/>
          </w:tcPr>
          <w:p>
            <w:pPr>
              <w:ind w:left="220"/>
              <w:spacing w:after="0"/>
              <w:rPr>
                <w:sz w:val="20"/>
                <w:szCs w:val="20"/>
                <w:color w:val="auto"/>
              </w:rPr>
            </w:pPr>
            <w:r>
              <w:rPr>
                <w:rFonts w:ascii="Arial" w:cs="Arial" w:eastAsia="Arial" w:hAnsi="Arial"/>
                <w:sz w:val="14"/>
                <w:szCs w:val="14"/>
                <w:color w:val="auto"/>
              </w:rPr>
              <w:t>2022 and December 31, 2021 (Note 12)</w:t>
            </w:r>
          </w:p>
        </w:tc>
        <w:tc>
          <w:tcPr>
            <w:tcW w:w="2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7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Class A common stock, $0.001 par value per share; 750,000 shares authorized; 187,904 and 171,521 shares issued and</w:t>
            </w:r>
          </w:p>
        </w:tc>
        <w:tc>
          <w:tcPr>
            <w:tcW w:w="240" w:type="dxa"/>
            <w:vAlign w:val="bottom"/>
            <w:shd w:val="clear" w:color="auto" w:fill="CCEEFF"/>
          </w:tcPr>
          <w:p>
            <w:pPr>
              <w:spacing w:after="0"/>
              <w:rPr>
                <w:sz w:val="12"/>
                <w:szCs w:val="12"/>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7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outstanding at September 30, 2022 and December 31, 2021 (Note 12)</w:t>
            </w:r>
          </w:p>
        </w:tc>
        <w:tc>
          <w:tcPr>
            <w:tcW w:w="240" w:type="dxa"/>
            <w:vAlign w:val="bottom"/>
            <w:shd w:val="clear" w:color="auto" w:fill="CCEEFF"/>
          </w:tcPr>
          <w:p>
            <w:pPr>
              <w:spacing w:after="0"/>
              <w:rPr>
                <w:sz w:val="16"/>
                <w:szCs w:val="16"/>
                <w:color w:val="auto"/>
              </w:rPr>
            </w:pPr>
          </w:p>
        </w:tc>
        <w:tc>
          <w:tcPr>
            <w:tcW w:w="1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180" w:type="dxa"/>
            <w:vAlign w:val="bottom"/>
            <w:gridSpan w:val="2"/>
          </w:tcPr>
          <w:p>
            <w:pPr>
              <w:ind w:left="20"/>
              <w:spacing w:after="0" w:line="143" w:lineRule="exact"/>
              <w:rPr>
                <w:sz w:val="20"/>
                <w:szCs w:val="20"/>
                <w:color w:val="auto"/>
              </w:rPr>
            </w:pPr>
            <w:r>
              <w:rPr>
                <w:rFonts w:ascii="Arial" w:cs="Arial" w:eastAsia="Arial" w:hAnsi="Arial"/>
                <w:sz w:val="14"/>
                <w:szCs w:val="14"/>
                <w:color w:val="auto"/>
                <w:w w:val="91"/>
              </w:rPr>
              <w:t>Class B common stock, $0.001 par value per share, 100 shares authorized; 65 issued and outstanding at September 30, 2022</w:t>
            </w:r>
          </w:p>
        </w:tc>
        <w:tc>
          <w:tcPr>
            <w:tcW w:w="240" w:type="dxa"/>
            <w:vAlign w:val="bottom"/>
          </w:tcPr>
          <w:p>
            <w:pPr>
              <w:spacing w:after="0"/>
              <w:rPr>
                <w:sz w:val="12"/>
                <w:szCs w:val="12"/>
                <w:color w:val="auto"/>
              </w:rPr>
            </w:pPr>
          </w:p>
        </w:tc>
        <w:tc>
          <w:tcPr>
            <w:tcW w:w="1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180" w:type="dxa"/>
            <w:vAlign w:val="bottom"/>
            <w:gridSpan w:val="2"/>
          </w:tcPr>
          <w:p>
            <w:pPr>
              <w:ind w:left="220"/>
              <w:spacing w:after="0"/>
              <w:rPr>
                <w:sz w:val="20"/>
                <w:szCs w:val="20"/>
                <w:color w:val="auto"/>
              </w:rPr>
            </w:pPr>
            <w:r>
              <w:rPr>
                <w:rFonts w:ascii="Arial" w:cs="Arial" w:eastAsia="Arial" w:hAnsi="Arial"/>
                <w:sz w:val="14"/>
                <w:szCs w:val="14"/>
                <w:color w:val="auto"/>
              </w:rPr>
              <w:t>and December 31, 2021 (Note 12)</w:t>
            </w:r>
          </w:p>
        </w:tc>
        <w:tc>
          <w:tcPr>
            <w:tcW w:w="24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7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425,979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362,555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180" w:type="dxa"/>
            <w:vAlign w:val="bottom"/>
            <w:gridSpan w:val="2"/>
          </w:tcPr>
          <w:p>
            <w:pPr>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(252,098)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(186,249)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174,069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176,477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847,214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September 30,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September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26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38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jc w:val="right"/>
              <w:ind w:right="599"/>
              <w:spacing w:after="0" w:line="14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599"/>
              <w:spacing w:after="0" w:line="142" w:lineRule="exact"/>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tcPr>
          <w:p>
            <w:pPr>
              <w:jc w:val="right"/>
              <w:ind w:right="599"/>
              <w:spacing w:after="0" w:line="142" w:lineRule="exact"/>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 net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111,238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293,827</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243,886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Cost of goods sold</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(74,602)</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(200,776)</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(138,749)</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36,636</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40,954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93,051</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gridSpan w:val="2"/>
          </w:tcPr>
          <w:p>
            <w:pPr>
              <w:spacing w:after="0"/>
              <w:rPr>
                <w:sz w:val="20"/>
                <w:szCs w:val="20"/>
                <w:color w:val="auto"/>
              </w:rPr>
            </w:pPr>
            <w:r>
              <w:rPr>
                <w:rFonts w:ascii="Arial" w:cs="Arial" w:eastAsia="Arial" w:hAnsi="Arial"/>
                <w:sz w:val="16"/>
                <w:szCs w:val="16"/>
                <w:b w:val="1"/>
                <w:bCs w:val="1"/>
                <w:color w:val="auto"/>
              </w:rPr>
              <w:t>Operating expenses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100,959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ind w:left="220"/>
              <w:spacing w:after="0"/>
              <w:rPr>
                <w:sz w:val="20"/>
                <w:szCs w:val="20"/>
                <w:color w:val="auto"/>
              </w:rPr>
            </w:pPr>
            <w:r>
              <w:rPr>
                <w:rFonts w:ascii="Arial" w:cs="Arial" w:eastAsia="Arial" w:hAnsi="Arial"/>
                <w:sz w:val="16"/>
                <w:szCs w:val="16"/>
                <w:color w:val="auto"/>
              </w:rPr>
              <w:t>Settlement expense</w:t>
            </w:r>
          </w:p>
        </w:tc>
        <w:tc>
          <w:tcPr>
            <w:tcW w:w="3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36,511</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34,159</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29,341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105,959</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121,610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Operating profit (loss)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w:t>
            </w: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(12,908)</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Other (expense) income</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(56,601)</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expense</w:t>
            </w: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(23,184)</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6"/>
                <w:szCs w:val="16"/>
                <w:color w:val="auto"/>
              </w:rPr>
              <w:t>Loss before income taxes</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(5,684)</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(36,092)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(72,868)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(11,178)</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(29,757)</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(16,862)</w:t>
            </w:r>
          </w:p>
        </w:tc>
        <w:tc>
          <w:tcPr>
            <w:tcW w:w="80" w:type="dxa"/>
            <w:vAlign w:val="bottom"/>
          </w:tcPr>
          <w:p>
            <w:pPr>
              <w:spacing w:after="0"/>
              <w:rPr>
                <w:sz w:val="15"/>
                <w:szCs w:val="15"/>
                <w:color w:val="auto"/>
              </w:rPr>
            </w:pPr>
          </w:p>
        </w:tc>
        <w:tc>
          <w:tcPr>
            <w:tcW w:w="5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(13,026)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(65,849)</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(106,146)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Net loss per share attributable to Class A and Class B</w:t>
            </w: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80" w:type="dxa"/>
            <w:vAlign w:val="bottom"/>
          </w:tcPr>
          <w:p>
            <w:pPr>
              <w:spacing w:after="0"/>
              <w:rPr>
                <w:sz w:val="14"/>
                <w:szCs w:val="14"/>
                <w:color w:val="auto"/>
              </w:rPr>
            </w:pPr>
          </w:p>
        </w:tc>
        <w:tc>
          <w:tcPr>
            <w:tcW w:w="580" w:type="dxa"/>
            <w:vAlign w:val="bottom"/>
            <w:vMerge w:val="restart"/>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4"/>
                <w:szCs w:val="14"/>
                <w:color w:val="auto"/>
              </w:rPr>
            </w:pPr>
          </w:p>
        </w:tc>
        <w:tc>
          <w:tcPr>
            <w:tcW w:w="380" w:type="dxa"/>
            <w:vAlign w:val="bottom"/>
            <w:vMerge w:val="restart"/>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(0.36)</w:t>
            </w:r>
          </w:p>
        </w:tc>
        <w:tc>
          <w:tcPr>
            <w:tcW w:w="80" w:type="dxa"/>
            <w:vAlign w:val="bottom"/>
          </w:tcPr>
          <w:p>
            <w:pPr>
              <w:spacing w:after="0"/>
              <w:rPr>
                <w:sz w:val="14"/>
                <w:szCs w:val="14"/>
                <w:color w:val="auto"/>
              </w:rPr>
            </w:pPr>
          </w:p>
        </w:tc>
        <w:tc>
          <w:tcPr>
            <w:tcW w:w="660" w:type="dxa"/>
            <w:vAlign w:val="bottom"/>
            <w:vMerge w:val="restart"/>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6"/>
                <w:szCs w:val="16"/>
                <w:b w:val="1"/>
                <w:bCs w:val="1"/>
                <w:color w:val="auto"/>
              </w:rPr>
              <w:t>common stockholders — basic and diluted (Note 12)</w:t>
            </w:r>
          </w:p>
        </w:tc>
        <w:tc>
          <w:tcPr>
            <w:tcW w:w="3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4260" w:type="dxa"/>
            <w:vAlign w:val="bottom"/>
            <w:gridSpan w:val="2"/>
            <w:shd w:val="clear" w:color="auto" w:fill="CCEEFF"/>
          </w:tcPr>
          <w:p>
            <w:pPr>
              <w:spacing w:after="0" w:line="165" w:lineRule="exact"/>
              <w:rPr>
                <w:sz w:val="20"/>
                <w:szCs w:val="20"/>
                <w:color w:val="auto"/>
              </w:rPr>
            </w:pPr>
            <w:r>
              <w:rPr>
                <w:rFonts w:ascii="Arial" w:cs="Arial" w:eastAsia="Arial" w:hAnsi="Arial"/>
                <w:sz w:val="16"/>
                <w:szCs w:val="16"/>
                <w:b w:val="1"/>
                <w:bCs w:val="1"/>
                <w:color w:val="auto"/>
                <w:w w:val="92"/>
              </w:rPr>
              <w:t>Weighted-average common shares outstanding — basic and</w:t>
            </w:r>
          </w:p>
        </w:tc>
        <w:tc>
          <w:tcPr>
            <w:tcW w:w="3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187,697</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169,879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181,833</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142,221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diluted</w:t>
            </w:r>
          </w:p>
        </w:tc>
        <w:tc>
          <w:tcPr>
            <w:tcW w:w="3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gridSpan w:val="9"/>
          </w:tcPr>
          <w:p>
            <w:pPr>
              <w:ind w:left="720"/>
              <w:spacing w:after="0"/>
              <w:rPr>
                <w:sz w:val="20"/>
                <w:szCs w:val="20"/>
                <w:color w:val="auto"/>
              </w:rPr>
            </w:pPr>
            <w:r>
              <w:rPr>
                <w:rFonts w:ascii="Arial" w:cs="Arial" w:eastAsia="Arial" w:hAnsi="Arial"/>
                <w:sz w:val="16"/>
                <w:szCs w:val="16"/>
                <w:b w:val="1"/>
                <w:bCs w:val="1"/>
                <w:color w:val="auto"/>
              </w:rPr>
              <w:t>Nine Months Ended September 30, 2022</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8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380" w:type="dxa"/>
            <w:vAlign w:val="bottom"/>
            <w:gridSpan w:val="3"/>
          </w:tcPr>
          <w:p>
            <w:pPr>
              <w:jc w:val="right"/>
              <w:ind w:right="285"/>
              <w:spacing w:after="0" w:line="145" w:lineRule="exact"/>
              <w:rPr>
                <w:sz w:val="20"/>
                <w:szCs w:val="20"/>
                <w:color w:val="auto"/>
              </w:rPr>
            </w:pPr>
            <w:r>
              <w:rPr>
                <w:rFonts w:ascii="Arial" w:cs="Arial" w:eastAsia="Arial" w:hAnsi="Arial"/>
                <w:sz w:val="16"/>
                <w:szCs w:val="16"/>
                <w:b w:val="1"/>
                <w:bCs w:val="1"/>
                <w:color w:val="auto"/>
              </w:rPr>
              <w:t>Class A and Class B</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380" w:type="dxa"/>
            <w:vAlign w:val="bottom"/>
            <w:tcBorders>
              <w:bottom w:val="single" w:sz="8" w:color="auto"/>
            </w:tcBorders>
            <w:gridSpan w:val="3"/>
          </w:tcPr>
          <w:p>
            <w:pPr>
              <w:jc w:val="right"/>
              <w:ind w:right="425"/>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Paid-In</w:t>
            </w:r>
          </w:p>
        </w:tc>
        <w:tc>
          <w:tcPr>
            <w:tcW w:w="160" w:type="dxa"/>
            <w:vAlign w:val="bottom"/>
          </w:tcPr>
          <w:p>
            <w:pPr>
              <w:spacing w:after="0"/>
              <w:rPr>
                <w:sz w:val="18"/>
                <w:szCs w:val="1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420" w:type="dxa"/>
            <w:vAlign w:val="bottom"/>
            <w:gridSpan w:val="2"/>
            <w:vMerge w:val="restart"/>
          </w:tcPr>
          <w:p>
            <w:pPr>
              <w:ind w:left="440"/>
              <w:spacing w:after="0"/>
              <w:rPr>
                <w:sz w:val="20"/>
                <w:szCs w:val="20"/>
                <w:color w:val="auto"/>
              </w:rPr>
            </w:pPr>
            <w:r>
              <w:rPr>
                <w:rFonts w:ascii="Arial" w:cs="Arial" w:eastAsia="Arial" w:hAnsi="Arial"/>
                <w:sz w:val="16"/>
                <w:szCs w:val="16"/>
                <w:b w:val="1"/>
                <w:bCs w:val="1"/>
                <w:color w:val="auto"/>
              </w:rPr>
              <w:t>Shares</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restart"/>
          </w:tcPr>
          <w:p>
            <w:pPr>
              <w:jc w:val="right"/>
              <w:ind w:right="4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tcPr>
          <w:p>
            <w:pPr>
              <w:spacing w:after="0" w:line="139" w:lineRule="exact"/>
              <w:rPr>
                <w:sz w:val="20"/>
                <w:szCs w:val="20"/>
                <w:color w:val="auto"/>
              </w:rPr>
            </w:pPr>
            <w:r>
              <w:rPr>
                <w:rFonts w:ascii="Arial" w:cs="Arial" w:eastAsia="Arial" w:hAnsi="Arial"/>
                <w:sz w:val="14"/>
                <w:szCs w:val="14"/>
                <w:i w:val="1"/>
                <w:iCs w:val="1"/>
                <w:color w:val="auto"/>
              </w:rPr>
              <w:t>(in thousands)</w:t>
            </w:r>
          </w:p>
        </w:tc>
        <w:tc>
          <w:tcPr>
            <w:tcW w:w="142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ind w:left="160"/>
              <w:spacing w:after="0" w:line="139" w:lineRule="exact"/>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3"/>
                <w:szCs w:val="13"/>
                <w:color w:val="auto"/>
              </w:rPr>
            </w:pPr>
          </w:p>
        </w:tc>
        <w:tc>
          <w:tcPr>
            <w:tcW w:w="1280" w:type="dxa"/>
            <w:vAlign w:val="bottom"/>
            <w:gridSpan w:val="2"/>
          </w:tcPr>
          <w:p>
            <w:pPr>
              <w:ind w:left="280"/>
              <w:spacing w:after="0" w:line="139" w:lineRule="exact"/>
              <w:rPr>
                <w:sz w:val="20"/>
                <w:szCs w:val="20"/>
                <w:color w:val="auto"/>
              </w:rPr>
            </w:pPr>
            <w:r>
              <w:rPr>
                <w:rFonts w:ascii="Arial" w:cs="Arial" w:eastAsia="Arial" w:hAnsi="Arial"/>
                <w:sz w:val="16"/>
                <w:szCs w:val="16"/>
                <w:b w:val="1"/>
                <w:bCs w:val="1"/>
                <w:color w:val="auto"/>
              </w:rPr>
              <w:t>Deficit</w:t>
            </w:r>
          </w:p>
        </w:tc>
        <w:tc>
          <w:tcPr>
            <w:tcW w:w="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171,586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rPr>
              <w:t>Vesting of equity-based payment awards</w:t>
            </w:r>
          </w:p>
        </w:tc>
        <w:tc>
          <w:tcPr>
            <w:tcW w:w="1320" w:type="dxa"/>
            <w:vAlign w:val="bottom"/>
          </w:tcPr>
          <w:p>
            <w:pPr>
              <w:jc w:val="right"/>
              <w:spacing w:after="0"/>
              <w:rPr>
                <w:sz w:val="20"/>
                <w:szCs w:val="20"/>
                <w:color w:val="auto"/>
              </w:rPr>
            </w:pPr>
            <w:r>
              <w:rPr>
                <w:rFonts w:ascii="Arial" w:cs="Arial" w:eastAsia="Arial" w:hAnsi="Arial"/>
                <w:sz w:val="16"/>
                <w:szCs w:val="16"/>
                <w:color w:val="auto"/>
              </w:rPr>
              <w:t>4,131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Equity-based compensation expense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w w:val="97"/>
              </w:rPr>
              <w:t>Taxes withheld under equity-based compensation plans, net</w:t>
            </w:r>
          </w:p>
        </w:tc>
        <w:tc>
          <w:tcPr>
            <w:tcW w:w="1320" w:type="dxa"/>
            <w:vAlign w:val="bottom"/>
          </w:tcPr>
          <w:p>
            <w:pPr>
              <w:jc w:val="right"/>
              <w:spacing w:after="0"/>
              <w:rPr>
                <w:sz w:val="20"/>
                <w:szCs w:val="20"/>
                <w:color w:val="auto"/>
              </w:rPr>
            </w:pPr>
            <w:r>
              <w:rPr>
                <w:rFonts w:ascii="Arial" w:cs="Arial" w:eastAsia="Arial" w:hAnsi="Arial"/>
                <w:sz w:val="16"/>
                <w:szCs w:val="16"/>
                <w:color w:val="auto"/>
              </w:rPr>
              <w:t>(1,260)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March 31, 2022</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174,457</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174</w:t>
            </w:r>
          </w:p>
        </w:tc>
        <w:tc>
          <w:tcPr>
            <w:tcW w:w="10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371,916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(214,064)</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158,026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issued in acquisitions or asset purchases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rPr>
              <w:t>Vesting of equity-based payment awards</w:t>
            </w:r>
          </w:p>
        </w:tc>
        <w:tc>
          <w:tcPr>
            <w:tcW w:w="13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Equity-based compensation expense</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rPr>
              <w:t>Issuance of warrants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June 30, 2022</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187,495</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187</w:t>
            </w:r>
          </w:p>
        </w:tc>
        <w:tc>
          <w:tcPr>
            <w:tcW w:w="10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421,669</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(235,236)</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186,620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Vesting of equity-based payment awards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rPr>
              <w:t>Equity-based compensation expense</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Taxes withheld under equity-based compensation plans, net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40"/>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(16,862)</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September 30, 2022</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187,969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gridSpan w:val="9"/>
          </w:tcPr>
          <w:p>
            <w:pPr>
              <w:ind w:left="700"/>
              <w:spacing w:after="0"/>
              <w:rPr>
                <w:sz w:val="20"/>
                <w:szCs w:val="20"/>
                <w:color w:val="auto"/>
              </w:rPr>
            </w:pPr>
            <w:r>
              <w:rPr>
                <w:rFonts w:ascii="Arial" w:cs="Arial" w:eastAsia="Arial" w:hAnsi="Arial"/>
                <w:sz w:val="16"/>
                <w:szCs w:val="16"/>
                <w:b w:val="1"/>
                <w:bCs w:val="1"/>
                <w:color w:val="auto"/>
              </w:rPr>
              <w:t>Nine Months Ended September 30, 2021</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gridSpan w:val="3"/>
          </w:tcPr>
          <w:p>
            <w:pPr>
              <w:jc w:val="right"/>
              <w:ind w:right="259"/>
              <w:spacing w:after="0" w:line="158" w:lineRule="exact"/>
              <w:rPr>
                <w:sz w:val="20"/>
                <w:szCs w:val="20"/>
                <w:color w:val="auto"/>
              </w:rPr>
            </w:pPr>
            <w:r>
              <w:rPr>
                <w:rFonts w:ascii="Arial" w:cs="Arial" w:eastAsia="Arial" w:hAnsi="Arial"/>
                <w:sz w:val="16"/>
                <w:szCs w:val="16"/>
                <w:b w:val="1"/>
                <w:bCs w:val="1"/>
                <w:color w:val="auto"/>
              </w:rPr>
              <w:t>Class A and Class B</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60" w:type="dxa"/>
            <w:vAlign w:val="bottom"/>
            <w:tcBorders>
              <w:right w:val="single" w:sz="8" w:color="auto"/>
            </w:tcBorders>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7"/>
              </w:rPr>
              <w:t>Historical LLC</w:t>
            </w:r>
          </w:p>
        </w:tc>
        <w:tc>
          <w:tcPr>
            <w:tcW w:w="80" w:type="dxa"/>
            <w:vAlign w:val="bottom"/>
          </w:tcPr>
          <w:p>
            <w:pPr>
              <w:spacing w:after="0"/>
              <w:rPr>
                <w:sz w:val="12"/>
                <w:szCs w:val="12"/>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100"/>
              <w:spacing w:after="0" w:line="148" w:lineRule="exact"/>
              <w:rPr>
                <w:sz w:val="20"/>
                <w:szCs w:val="20"/>
                <w:color w:val="auto"/>
              </w:rPr>
            </w:pPr>
            <w:r>
              <w:rPr>
                <w:rFonts w:ascii="Arial" w:cs="Arial" w:eastAsia="Arial" w:hAnsi="Arial"/>
                <w:sz w:val="16"/>
                <w:szCs w:val="16"/>
                <w:b w:val="1"/>
                <w:bCs w:val="1"/>
                <w:color w:val="auto"/>
                <w:w w:val="95"/>
              </w:rPr>
              <w:t>Additional Paid-</w:t>
            </w:r>
          </w:p>
        </w:tc>
        <w:tc>
          <w:tcPr>
            <w:tcW w:w="160" w:type="dxa"/>
            <w:vAlign w:val="bottom"/>
          </w:tcPr>
          <w:p>
            <w:pPr>
              <w:spacing w:after="0"/>
              <w:rPr>
                <w:sz w:val="12"/>
                <w:szCs w:val="12"/>
                <w:color w:val="auto"/>
              </w:rPr>
            </w:pPr>
          </w:p>
        </w:tc>
        <w:tc>
          <w:tcPr>
            <w:tcW w:w="1300" w:type="dxa"/>
            <w:vAlign w:val="bottom"/>
            <w:gridSpan w:val="2"/>
          </w:tcPr>
          <w:p>
            <w:pPr>
              <w:ind w:left="60"/>
              <w:spacing w:after="0" w:line="148" w:lineRule="exact"/>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2"/>
                <w:szCs w:val="12"/>
                <w:color w:val="auto"/>
              </w:rPr>
            </w:pPr>
          </w:p>
        </w:tc>
        <w:tc>
          <w:tcPr>
            <w:tcW w:w="102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w:t>
            </w:r>
          </w:p>
        </w:tc>
        <w:tc>
          <w:tcPr>
            <w:tcW w:w="1260" w:type="dxa"/>
            <w:vAlign w:val="bottom"/>
            <w:tcBorders>
              <w:right w:val="single" w:sz="8" w:color="auto"/>
            </w:tcBorders>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94"/>
              </w:rPr>
              <w:t>Units</w:t>
            </w:r>
          </w:p>
        </w:tc>
        <w:tc>
          <w:tcPr>
            <w:tcW w:w="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80"/>
              <w:spacing w:after="0" w:line="142" w:lineRule="exact"/>
              <w:rPr>
                <w:sz w:val="20"/>
                <w:szCs w:val="20"/>
                <w:color w:val="auto"/>
              </w:rPr>
            </w:pPr>
            <w:r>
              <w:rPr>
                <w:rFonts w:ascii="Arial" w:cs="Arial" w:eastAsia="Arial" w:hAnsi="Arial"/>
                <w:sz w:val="16"/>
                <w:szCs w:val="16"/>
                <w:b w:val="1"/>
                <w:bCs w:val="1"/>
                <w:color w:val="auto"/>
                <w:w w:val="97"/>
              </w:rPr>
              <w:t>In Capital</w:t>
            </w:r>
          </w:p>
        </w:tc>
        <w:tc>
          <w:tcPr>
            <w:tcW w:w="160" w:type="dxa"/>
            <w:vAlign w:val="bottom"/>
          </w:tcPr>
          <w:p>
            <w:pPr>
              <w:spacing w:after="0"/>
              <w:rPr>
                <w:sz w:val="14"/>
                <w:szCs w:val="14"/>
                <w:color w:val="auto"/>
              </w:rPr>
            </w:pPr>
          </w:p>
        </w:tc>
        <w:tc>
          <w:tcPr>
            <w:tcW w:w="1300" w:type="dxa"/>
            <w:vAlign w:val="bottom"/>
            <w:gridSpan w:val="2"/>
          </w:tcPr>
          <w:p>
            <w:pPr>
              <w:ind w:left="280"/>
              <w:spacing w:after="0" w:line="142" w:lineRule="exact"/>
              <w:rPr>
                <w:sz w:val="20"/>
                <w:szCs w:val="20"/>
                <w:color w:val="auto"/>
              </w:rPr>
            </w:pPr>
            <w:r>
              <w:rPr>
                <w:rFonts w:ascii="Arial" w:cs="Arial" w:eastAsia="Arial" w:hAnsi="Arial"/>
                <w:sz w:val="16"/>
                <w:szCs w:val="16"/>
                <w:b w:val="1"/>
                <w:bCs w:val="1"/>
                <w:color w:val="auto"/>
              </w:rPr>
              <w:t>Deficit</w:t>
            </w: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December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106,082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Vesting of restricted common units</w:t>
            </w:r>
          </w:p>
        </w:tc>
        <w:tc>
          <w:tcPr>
            <w:tcW w:w="114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20" w:type="dxa"/>
            <w:vAlign w:val="bottom"/>
            <w:gridSpan w:val="2"/>
          </w:tcPr>
          <w:p>
            <w:pPr>
              <w:spacing w:after="0" w:line="166" w:lineRule="exact"/>
              <w:rPr>
                <w:sz w:val="20"/>
                <w:szCs w:val="20"/>
                <w:color w:val="auto"/>
              </w:rPr>
            </w:pPr>
            <w:r>
              <w:rPr>
                <w:rFonts w:ascii="Arial" w:cs="Arial" w:eastAsia="Arial" w:hAnsi="Arial"/>
                <w:sz w:val="16"/>
                <w:szCs w:val="16"/>
                <w:color w:val="auto"/>
              </w:rPr>
              <w:t>Reserve for equity issued in litigation</w:t>
            </w:r>
          </w:p>
        </w:tc>
        <w:tc>
          <w:tcPr>
            <w:tcW w:w="12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27,431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27,431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gridSpan w:val="2"/>
          </w:tcPr>
          <w:p>
            <w:pPr>
              <w:ind w:left="160"/>
              <w:spacing w:after="0"/>
              <w:rPr>
                <w:sz w:val="20"/>
                <w:szCs w:val="20"/>
                <w:color w:val="auto"/>
              </w:rPr>
            </w:pPr>
            <w:r>
              <w:rPr>
                <w:rFonts w:ascii="Arial" w:cs="Arial" w:eastAsia="Arial" w:hAnsi="Arial"/>
                <w:sz w:val="16"/>
                <w:szCs w:val="16"/>
                <w:color w:val="auto"/>
              </w:rPr>
              <w:t>settlement</w:t>
            </w:r>
          </w:p>
        </w:tc>
        <w:tc>
          <w:tcPr>
            <w:tcW w:w="126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March 31, 2021</w:t>
            </w:r>
          </w:p>
        </w:tc>
        <w:tc>
          <w:tcPr>
            <w:tcW w:w="1140" w:type="dxa"/>
            <w:vAlign w:val="bottom"/>
          </w:tcPr>
          <w:p>
            <w:pPr>
              <w:jc w:val="right"/>
              <w:spacing w:after="0"/>
              <w:rPr>
                <w:sz w:val="20"/>
                <w:szCs w:val="20"/>
                <w:color w:val="auto"/>
              </w:rPr>
            </w:pPr>
            <w:r>
              <w:rPr>
                <w:rFonts w:ascii="Arial" w:cs="Arial" w:eastAsia="Arial" w:hAnsi="Arial"/>
                <w:sz w:val="16"/>
                <w:szCs w:val="16"/>
                <w:color w:val="auto"/>
              </w:rPr>
              <w:t>107,165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97,296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(111,815)</w:t>
            </w:r>
          </w:p>
        </w:tc>
        <w:tc>
          <w:tcPr>
            <w:tcW w:w="10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(14,519)</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6"/>
                <w:szCs w:val="16"/>
                <w:color w:val="auto"/>
              </w:rPr>
              <w:t>Release of reserve for equity issued in</w:t>
            </w:r>
          </w:p>
        </w:tc>
        <w:tc>
          <w:tcPr>
            <w:tcW w:w="12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(27,431)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litigation settlement</w:t>
            </w: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gridSpan w:val="2"/>
          </w:tcPr>
          <w:p>
            <w:pPr>
              <w:ind w:left="40"/>
              <w:spacing w:after="0"/>
              <w:rPr>
                <w:sz w:val="20"/>
                <w:szCs w:val="20"/>
                <w:color w:val="auto"/>
              </w:rPr>
            </w:pPr>
            <w:r>
              <w:rPr>
                <w:rFonts w:ascii="Arial" w:cs="Arial" w:eastAsia="Arial" w:hAnsi="Arial"/>
                <w:sz w:val="16"/>
                <w:szCs w:val="16"/>
                <w:color w:val="auto"/>
              </w:rPr>
              <w:t>Equity issued in litigation settlement</w:t>
            </w:r>
          </w:p>
        </w:tc>
        <w:tc>
          <w:tcPr>
            <w:tcW w:w="1140" w:type="dxa"/>
            <w:vAlign w:val="bottom"/>
          </w:tcPr>
          <w:p>
            <w:pPr>
              <w:jc w:val="right"/>
              <w:spacing w:after="0"/>
              <w:rPr>
                <w:sz w:val="20"/>
                <w:szCs w:val="20"/>
                <w:color w:val="auto"/>
              </w:rPr>
            </w:pPr>
            <w:r>
              <w:rPr>
                <w:rFonts w:ascii="Arial" w:cs="Arial" w:eastAsia="Arial" w:hAnsi="Arial"/>
                <w:sz w:val="16"/>
                <w:szCs w:val="16"/>
                <w:color w:val="auto"/>
              </w:rPr>
              <w:t>5,025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27,431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Conversion of historical common units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gridSpan w:val="2"/>
          </w:tcPr>
          <w:p>
            <w:pPr>
              <w:ind w:left="40"/>
              <w:spacing w:after="0"/>
              <w:rPr>
                <w:sz w:val="20"/>
                <w:szCs w:val="20"/>
                <w:color w:val="auto"/>
              </w:rPr>
            </w:pPr>
            <w:r>
              <w:rPr>
                <w:rFonts w:ascii="Arial" w:cs="Arial" w:eastAsia="Arial" w:hAnsi="Arial"/>
                <w:sz w:val="16"/>
                <w:szCs w:val="16"/>
                <w:color w:val="auto"/>
              </w:rPr>
              <w:t>Conversion of historical preferred units</w:t>
            </w:r>
          </w:p>
        </w:tc>
        <w:tc>
          <w:tcPr>
            <w:tcW w:w="1140" w:type="dxa"/>
            <w:vAlign w:val="bottom"/>
          </w:tcPr>
          <w:p>
            <w:pPr>
              <w:jc w:val="right"/>
              <w:spacing w:after="0"/>
              <w:rPr>
                <w:sz w:val="20"/>
                <w:szCs w:val="20"/>
                <w:color w:val="auto"/>
              </w:rPr>
            </w:pPr>
            <w:r>
              <w:rPr>
                <w:rFonts w:ascii="Arial" w:cs="Arial" w:eastAsia="Arial" w:hAnsi="Arial"/>
                <w:sz w:val="16"/>
                <w:szCs w:val="16"/>
                <w:color w:val="auto"/>
              </w:rPr>
              <w:t>(58,036)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58,036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6"/>
                <w:szCs w:val="16"/>
                <w:color w:val="auto"/>
              </w:rPr>
              <w:t>Issuance of common stock in public</w:t>
            </w: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6"/>
                <w:szCs w:val="16"/>
                <w:color w:val="auto"/>
              </w:rPr>
              <w:t>offerings, net of $5,935 of underwriting</w:t>
            </w: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6"/>
                <w:szCs w:val="16"/>
                <w:color w:val="auto"/>
                <w:w w:val="97"/>
              </w:rPr>
              <w:t>commissions and discounts and offering</w:t>
            </w:r>
          </w:p>
        </w:tc>
        <w:tc>
          <w:tcPr>
            <w:tcW w:w="12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86,053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86,065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expenses</w:t>
            </w: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20" w:type="dxa"/>
            <w:vAlign w:val="bottom"/>
            <w:gridSpan w:val="2"/>
          </w:tcPr>
          <w:p>
            <w:pPr>
              <w:ind w:left="40"/>
              <w:spacing w:after="0" w:line="166" w:lineRule="exact"/>
              <w:rPr>
                <w:sz w:val="20"/>
                <w:szCs w:val="20"/>
                <w:color w:val="auto"/>
              </w:rPr>
            </w:pPr>
            <w:r>
              <w:rPr>
                <w:rFonts w:ascii="Arial" w:cs="Arial" w:eastAsia="Arial" w:hAnsi="Arial"/>
                <w:sz w:val="16"/>
                <w:szCs w:val="16"/>
                <w:color w:val="auto"/>
                <w:w w:val="93"/>
              </w:rPr>
              <w:t>Conversion of convertible notes upon initial</w:t>
            </w:r>
          </w:p>
        </w:tc>
        <w:tc>
          <w:tcPr>
            <w:tcW w:w="12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37,388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137,718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137,755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6"/>
                <w:szCs w:val="16"/>
                <w:color w:val="auto"/>
              </w:rPr>
              <w:t>public offering</w:t>
            </w:r>
          </w:p>
        </w:tc>
        <w:tc>
          <w:tcPr>
            <w:tcW w:w="126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ind w:left="40"/>
              <w:spacing w:after="0" w:line="169" w:lineRule="exact"/>
              <w:rPr>
                <w:sz w:val="20"/>
                <w:szCs w:val="20"/>
                <w:color w:val="auto"/>
              </w:rPr>
            </w:pPr>
            <w:r>
              <w:rPr>
                <w:rFonts w:ascii="Arial" w:cs="Arial" w:eastAsia="Arial" w:hAnsi="Arial"/>
                <w:sz w:val="16"/>
                <w:szCs w:val="16"/>
                <w:color w:val="auto"/>
                <w:w w:val="99"/>
              </w:rPr>
              <w:t>Beneficial conversion feature associated</w:t>
            </w:r>
          </w:p>
        </w:tc>
        <w:tc>
          <w:tcPr>
            <w:tcW w:w="11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92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6"/>
                <w:szCs w:val="16"/>
                <w:color w:val="auto"/>
              </w:rPr>
              <w:t>with conversion of preferred units upon</w:t>
            </w:r>
          </w:p>
        </w:tc>
        <w:tc>
          <w:tcPr>
            <w:tcW w:w="12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3,420</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27,361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initial public offering</w:t>
            </w: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gridSpan w:val="2"/>
          </w:tcPr>
          <w:p>
            <w:pPr>
              <w:ind w:left="40"/>
              <w:spacing w:after="0"/>
              <w:rPr>
                <w:sz w:val="20"/>
                <w:szCs w:val="20"/>
                <w:color w:val="auto"/>
              </w:rPr>
            </w:pPr>
            <w:r>
              <w:rPr>
                <w:rFonts w:ascii="Arial" w:cs="Arial" w:eastAsia="Arial" w:hAnsi="Arial"/>
                <w:sz w:val="16"/>
                <w:szCs w:val="16"/>
                <w:color w:val="auto"/>
                <w:w w:val="98"/>
              </w:rPr>
              <w:t>Vesting of equity-based payment awards</w:t>
            </w:r>
          </w:p>
        </w:tc>
        <w:tc>
          <w:tcPr>
            <w:tcW w:w="1140" w:type="dxa"/>
            <w:vAlign w:val="bottom"/>
          </w:tcPr>
          <w:p>
            <w:pPr>
              <w:jc w:val="right"/>
              <w:spacing w:after="0"/>
              <w:rPr>
                <w:sz w:val="20"/>
                <w:szCs w:val="20"/>
                <w:color w:val="auto"/>
              </w:rPr>
            </w:pPr>
            <w:r>
              <w:rPr>
                <w:rFonts w:ascii="Arial" w:cs="Arial" w:eastAsia="Arial" w:hAnsi="Arial"/>
                <w:sz w:val="16"/>
                <w:szCs w:val="16"/>
                <w:color w:val="auto"/>
              </w:rPr>
              <w:t>1,176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Equity-based compensation expense</w:t>
            </w: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Repurchase of warrants</w:t>
            </w: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(4,156)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(44,897)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Arial" w:cs="Arial" w:eastAsia="Arial" w:hAnsi="Arial"/>
                <w:sz w:val="16"/>
                <w:szCs w:val="16"/>
                <w:b w:val="1"/>
                <w:bCs w:val="1"/>
                <w:color w:val="auto"/>
              </w:rPr>
              <w:t>June 30, 2021</w:t>
            </w: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168,829</w:t>
            </w:r>
          </w:p>
        </w:tc>
        <w:tc>
          <w:tcPr>
            <w:tcW w:w="100" w:type="dxa"/>
            <w:vAlign w:val="bottom"/>
          </w:tcPr>
          <w:p>
            <w:pPr>
              <w:spacing w:after="0"/>
              <w:rPr>
                <w:sz w:val="17"/>
                <w:szCs w:val="17"/>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w w:val="89"/>
              </w:rPr>
              <w:t>168</w:t>
            </w:r>
          </w:p>
        </w:tc>
        <w:tc>
          <w:tcPr>
            <w:tcW w:w="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345,864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(156,712)</w:t>
            </w:r>
          </w:p>
        </w:tc>
        <w:tc>
          <w:tcPr>
            <w:tcW w:w="10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189,320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common stock</w:t>
            </w: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6"/>
                <w:szCs w:val="16"/>
                <w:color w:val="auto"/>
              </w:rPr>
              <w:t>Vesting of equity-based payment awards</w:t>
            </w:r>
          </w:p>
        </w:tc>
        <w:tc>
          <w:tcPr>
            <w:tcW w:w="12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Equity-based compensation expense</w:t>
            </w: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9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September 30, 2021</w:t>
            </w:r>
          </w:p>
        </w:tc>
        <w:tc>
          <w:tcPr>
            <w:tcW w:w="12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171,010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9"/>
              <w:spacing w:after="0" w:line="161"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9"/>
              <w:spacing w:after="0" w:line="161"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(65,849)</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(106,146)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25,824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16,692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operating lease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Non-cash interest expense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4,466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41,506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Equity-based compensation expense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Equity issued in litigation settlement</w:t>
            </w:r>
          </w:p>
        </w:tc>
        <w:tc>
          <w:tcPr>
            <w:tcW w:w="4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Loss on sale of assets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Inventory</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(34,754)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(31,703)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Other noncurrent assets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(7,026)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Income taxes payable</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17,959</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(22,285)</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 to capital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Investments in notes receivable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(2,391)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(2,185)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Collection of notes receivable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Proceeds from sale of assets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39,225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of businesses, net of cash acquired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Purchase of intangible assets</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(43,781)</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(94,551)</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26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w w:val="94"/>
              </w:rPr>
              <w:t>Proceeds from issuance of common stock in public offerings, net of underwriting discounts and commissions</w:t>
            </w:r>
          </w:p>
        </w:tc>
        <w:tc>
          <w:tcPr>
            <w:tcW w:w="46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86,065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and offering expenses</w:t>
            </w:r>
          </w:p>
        </w:tc>
        <w:tc>
          <w:tcPr>
            <w:tcW w:w="46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Proceeds from issuance of debt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65,000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259,500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Repayments of debt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Repayments under finance leases</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issuance costs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Taxes withheld under equity-based compensation plans, net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of warrants</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52,748</w:t>
            </w:r>
          </w:p>
        </w:tc>
        <w:tc>
          <w:tcPr>
            <w:tcW w:w="8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254,265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146,413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155,481</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58,097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91,393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240"/>
          </w:cols>
          <w:pgMar w:left="320" w:top="121" w:right="339"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UNAUDITED)</w:t>
      </w:r>
    </w:p>
    <w:p>
      <w:pPr>
        <w:spacing w:after="0" w:line="200" w:lineRule="exact"/>
        <w:rPr>
          <w:sz w:val="20"/>
          <w:szCs w:val="20"/>
          <w:color w:val="auto"/>
        </w:rPr>
      </w:pPr>
    </w:p>
    <w:p>
      <w:pPr>
        <w:spacing w:after="0" w:line="394"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9"/>
              <w:spacing w:after="0" w:line="161" w:lineRule="exact"/>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719"/>
              <w:spacing w:after="0" w:line="161" w:lineRule="exact"/>
              <w:rPr>
                <w:sz w:val="20"/>
                <w:szCs w:val="20"/>
                <w:color w:val="auto"/>
              </w:rPr>
            </w:pPr>
            <w:r>
              <w:rPr>
                <w:rFonts w:ascii="Arial" w:cs="Arial" w:eastAsia="Arial" w:hAnsi="Arial"/>
                <w:sz w:val="16"/>
                <w:szCs w:val="16"/>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17,100</w:t>
            </w:r>
          </w:p>
        </w:tc>
        <w:tc>
          <w:tcPr>
            <w:tcW w:w="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14,618</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w:t>
            </w: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Capital expenditures incurred but not yet paid</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7,656</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shares for intangible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Warrants issued with notes payable</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Taxes withheld under equity-based compensation plans, net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Conversion of convertible notes and accrued interest upon initial public offering</w:t>
            </w:r>
          </w:p>
        </w:tc>
        <w:tc>
          <w:tcPr>
            <w:tcW w:w="4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137,755</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Conversion of preferred units into Class A common stock upon initial public offering</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70,660</w:t>
            </w:r>
          </w:p>
        </w:tc>
      </w:tr>
      <w:tr>
        <w:trPr>
          <w:trHeight w:val="213"/>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6"/>
                <w:szCs w:val="16"/>
                <w:color w:val="auto"/>
              </w:rPr>
              <w:t>Beneficial conversion feature associated with conversion of preferred units upon initial public offering</w:t>
            </w:r>
          </w:p>
        </w:tc>
        <w:tc>
          <w:tcPr>
            <w:tcW w:w="4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27,361</w:t>
            </w:r>
          </w:p>
        </w:tc>
      </w:tr>
      <w:tr>
        <w:trPr>
          <w:trHeight w:val="21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issued for share-settled debt</w:t>
            </w: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Ascend Wellness Holdings, Inc., which operates through its subsidiaries (collectively referred to as “AWH,” “Ascend,” “we,” “us,” “our,” or the “Company”), is a multi-state operator in the United States cannabis industry. AWH owns, manages, and operates cannabis cultivation facilities and dispensaries in several states across the United States, including Illinois, Michigan, Ohio, Massachusetts, New Jersey, and Pennsylvania. AWH is headquartered in New York, New York.</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these financial statements. We refer to this conversion throughout this filing as the “Conversion.” As a result of the Conversion, the members of Ascend Wellness Holdings, LLC became holders of shares of stock of Ascend Wellness Holdings, Inc. The historical consolidated financial statements prior to the Conversion date are those of Ascend Wellness Holdings, LLC and its subsidiaries.</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On May 4, 2021, the Company completed an Initial Public Offering (“IPO”) of its Class A common stock. See Note 12, “Stockholders’ Equity,” for additional details.</w:t>
      </w:r>
    </w:p>
    <w:p>
      <w:pPr>
        <w:spacing w:after="0" w:line="13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Shares of the Company’s Class A common stock are listed on the Canadian Securities Exchange (the “CSE”) under the ticker symbol “AAWH.U” and are quoted on the OTCQX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Best Market (the “OTCQX”) under the symbol “AAWH.” We are an emerging growth company under federal securities laws and as such we are able to elect to follow scaled disclosure requirements for this filing.</w:t>
      </w:r>
    </w:p>
    <w:p>
      <w:pPr>
        <w:spacing w:after="0" w:line="199" w:lineRule="exact"/>
        <w:rPr>
          <w:sz w:val="20"/>
          <w:szCs w:val="20"/>
          <w:color w:val="auto"/>
        </w:rPr>
      </w:pPr>
    </w:p>
    <w:p>
      <w:pPr>
        <w:ind w:right="4920" w:firstLine="8"/>
        <w:spacing w:after="0" w:line="440"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interim financial statements have been prepared in accordance with (i) United States generally accepted accounting principles (“U.S. GAAP”) for interim financial information, and (ii) the instructions to Form 10-Q and Article 10 of Regulation S-X. In the opinion of our management, our unaudited condensed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or any other period. The Financial Statements should be read in conjunction with our audited consolidated financial statements (and notes thereto) in our Annual Report on Form 10-K for the year ended December 31, 2021 (the “Annual Report”), as filed with the United States Securities and Exchange Commission (“SEC”) and with the relevant Canadian securities regulatory authorities under its profile on the System for Electronic Document Analysis and Retrieval (“SEDAR”). Except as noted below, there have been no material changes to the Company’s significant accounting policies and estimates during the nine months ended September 30, 2022.</w:t>
      </w:r>
    </w:p>
    <w:p>
      <w:pPr>
        <w:spacing w:after="0" w:line="1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include the accounts of Ascend Wellness Holdings, Inc. and its subsidiaries. Refer to Note 8, “Variable Interest Entities,” for additional information regarding certain entities that are not wholly-owned by the Company. We include the results of acquired businesses in the consolidated statements of operations from their respective acquisition dates. All intercompany accounts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year amounts have been reclassified to conform with our current period presentation. These changes had no impact on our previously reported net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reflected in the Financial Statements, the Company had an accumulated deficit as of September 30, 2022 and December 31, 2021, as well as a net loss for the three and nine months ended September 30, 2022 and 2021, and negative cash flows from operating activities during the nine months ended September 30, 2022 and 2021,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2022 and December 31, 2021, we did not hold significant restricted cash or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September 30, 2022 and 2021, we had no transfers of assets or liabilities between any of the hierarchy levels.</w:t>
      </w:r>
    </w:p>
    <w:p>
      <w:pPr>
        <w:spacing w:after="0" w:line="19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 related right-of use assets. We estimate the fair value of these assets using primarily unobservable Level 3 inputs.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EPS and weighted-average shares outstanding for the three and nine months ended September 30, 2022 and 2021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computed on the basis of treating the historical common unit equivalents previously outstanding as shares of Class A common stock, as such historical units converted into shares of Class A common stock in the Conversion.</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Basic EPS is computed by dividing net loss by the weighted average number of common shares outstanding during the period. Diluted EPS reflects potential dilution and is computed by dividing net loss by the weighted 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 the current and prior year include incremental shares of common stock issuable upon the exercise of warrants, unvested restricted stock awards, and unvested restricted stock units, in addition to stock options that are outstanding in the current year. At September 30, 2022 and 2021, 15,069 and 10,827 shares of common stock equivalents, respectively, were excluded from the calculation of diluted EPS because their inclusion would have been anti-dilutive.</w:t>
      </w:r>
    </w:p>
    <w:p>
      <w:pPr>
        <w:spacing w:after="0" w:line="1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disclosed on the cover page of this Quarterly Report on Form 10-Q.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 – 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 (Subtopic 470-20) and Derivatives and Hedging – Contracts in Entity’s Own Equity (Subtopic 815-40): Accounting for Convertible Instruments and Contracts in an Entity’s Own Equity</w:t>
      </w:r>
      <w:r>
        <w:rPr>
          <w:rFonts w:ascii="Arial" w:cs="Arial" w:eastAsia="Arial" w:hAnsi="Arial"/>
          <w:sz w:val="17"/>
          <w:szCs w:val="17"/>
          <w:color w:val="auto"/>
        </w:rPr>
        <w:t>, which simplifies the accounting for convertible instruments by reducing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models available for convertible debt instruments. This guidance also eliminates the treasury stock method to calculate diluted earnings per share for convertible instruments and requires the use of the if-converted method. ASU 2020-06 became effective for us on January 1, 2022 and did not have a significant impact on our consolidated financial statements upon adoption.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or Exchanges of Freestanding Equity-Classified Written Call Options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 – 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Stock Compensation (Topic 718), and Derivatives and Hedging – Contracts in an Entity’s Own Equity (Subtopic 815-40): Issuer’s Accounting For Certain Modifications or Exchanges of Freestanding Equity-Classified Written Call Options, </w:t>
      </w:r>
      <w:r>
        <w:rPr>
          <w:rFonts w:ascii="Arial" w:cs="Arial" w:eastAsia="Arial" w:hAnsi="Arial"/>
          <w:sz w:val="18"/>
          <w:szCs w:val="18"/>
          <w:color w:val="auto"/>
        </w:rPr>
        <w:t>(“ASU 2021-04”). ASU 2021-04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clarification and reduces diversity in an issuer’s accounting for certain modifications or exchanges of freestanding equity-classified written call options, such as warrants, that remain equity classified after modification or exchange. ASU 2021-04 became effective for us on January 1, 2022 and did not have a significant impact on our consolidated financial statements upon adoption.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standards have been recently issued by the FASB. Pronouncements that are not applicable to the Company or where it has been determined do not have a significant impact on us have been excluded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ASU 2016-13 replaces the existing guidance surrounding measurement and recognition of credit losses on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at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will result in earlier recognition of credit losses than the current “as incurred” model, under which losses are recognized only upon the occurrence of an event that gives rise to the incurrence of a probable loss.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2019-11,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 was issued in November 2019 to clarify, improve, and amend certain aspects of ASU 2016-13, such as disclosures related to accrued interest receivables and the estimation of credit losses associated with financial assets secured by collateral.</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ASU 2020-03, </w:t>
      </w:r>
      <w:r>
        <w:rPr>
          <w:rFonts w:ascii="Arial" w:cs="Arial" w:eastAsia="Arial" w:hAnsi="Arial"/>
          <w:sz w:val="16"/>
          <w:szCs w:val="16"/>
          <w:i w:val="1"/>
          <w:iCs w:val="1"/>
          <w:color w:val="auto"/>
        </w:rPr>
        <w:t>Codification Improvements to Financial Instruments</w:t>
      </w:r>
      <w:r>
        <w:rPr>
          <w:rFonts w:ascii="Arial" w:cs="Arial" w:eastAsia="Arial" w:hAnsi="Arial"/>
          <w:sz w:val="16"/>
          <w:szCs w:val="16"/>
          <w:color w:val="auto"/>
        </w:rPr>
        <w:t>, was issued in March 2020 to improve and clarify various financial instruments topics, including the CECL standard issued in 2016. The ASU includes seven different issues that describe the areas of improvement and the related amendments to U.S. GAAP, intended to make the standards easier to understand and apply by eliminating inconsistencies and providing clarifications. Certain amendments contained within this update were effective upon issuance and had no material impact on our Financial Statements.</w:t>
      </w:r>
    </w:p>
    <w:p>
      <w:pPr>
        <w:spacing w:after="0" w:line="1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ASU 2016-13 and its related ASUs are effective for us beginning January 1, 2023. We are currently evaluating the impact of this guidance on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 Rate Reform</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which provides optional expedients and exceptions for applying U.S. GAAP to contracts, hedging relationships,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that reference LIBOR or another reference rate expected to be discontinued because of reference rate reform. This guidance was effective upon issuance as of March 12, 2020 and may be adopted as reference rate reform activities occur through December 31, 2022. We have not yet applied any of the expedients and exceptions and do not expect this guidance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900" w:type="dxa"/>
            <w:vAlign w:val="bottom"/>
            <w:gridSpan w:val="4"/>
          </w:tcPr>
          <w:p>
            <w:pPr>
              <w:ind w:left="50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0"/>
              </w:rPr>
              <w:t>September 30,</w:t>
            </w:r>
          </w:p>
        </w:tc>
        <w:tc>
          <w:tcPr>
            <w:tcW w:w="104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46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5"/>
                <w:szCs w:val="15"/>
                <w:color w:val="auto"/>
              </w:rPr>
            </w:pPr>
          </w:p>
        </w:tc>
        <w:tc>
          <w:tcPr>
            <w:tcW w:w="1220" w:type="dxa"/>
            <w:vAlign w:val="bottom"/>
          </w:tcPr>
          <w:p>
            <w:pPr>
              <w:jc w:val="right"/>
              <w:ind w:right="51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ind w:left="24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99"/>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221,639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167,076</w:t>
            </w: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Wholesale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8"/>
              </w:rPr>
              <w:t>131,513</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111,341</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353,152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278,417</w:t>
            </w: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Elimination of inter-company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2"/>
              </w:rPr>
              <w:t>(59,325)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111,238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8"/>
              </w:rPr>
              <w:t>293,827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liability related to the loyalty program we offer dispensary customers at certain locations was $658 and $518 at September 30, 2022 and December 31, 2021, respectively, and is included within “Other current liabilities” on the accompanying unaudited Condensed Consolidated Balance Sheets. The Company recorded $447 and $374 in allowance for doubtful accounts as of September 30, 2022 and December 31, 2021, respectively. Write-offs were not significant during the three and nine months ended September 30, 2022 and 2021.</w:t>
      </w:r>
    </w:p>
    <w:p>
      <w:pPr>
        <w:spacing w:after="0" w:line="183" w:lineRule="exact"/>
        <w:rPr>
          <w:sz w:val="20"/>
          <w:szCs w:val="20"/>
          <w:color w:val="auto"/>
        </w:rPr>
      </w:pPr>
    </w:p>
    <w:p>
      <w:pPr>
        <w:ind w:right="9440" w:firstLine="8"/>
        <w:spacing w:after="0" w:line="528" w:lineRule="auto"/>
        <w:tabs>
          <w:tab w:leader="none" w:pos="18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Business Combinations</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has determined that the acquisitions discussed below are considered business combinations under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(“ASC Topic 805”) and are accounted for by applying the acquisition method, whereby the assets acquired and the liabilities assumed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their fair values with any excess of the aggregate consideration over the fair values of the identifiable net assets allocated to goodwill. Operating results are included in the Financial Statements from the date of the acquisition.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preliminary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May 5, 2021, the Company completed the acquisition of the parent company of Hemma, LLC (“Hemma”), the owner of a medical cultivation site in Ohio. Effective October 1, 2021, the Company completed the acquisition of BCCO, LLC (“BCCO”), a medical dispensary license holder in Ohio. Additionally, effective December 22, 2021, the Company completed the acquisition of Ohio Cannabis Clinic, LLC (“OCC”), a medical dispensary license holder in Ohio.</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2022, we recorded a measurement period purchase accounting adjustment of $51 related to the OCC acquisition for the final working capital adjustment, with a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impact to goodwill. Additionally, during the three and nine months ended September 30, 2022, we recorded a measurement period adjustment to goodwill of $548 related to the BCCO acquisition for a pre-acquisition deferred tax liability due to finalization of certain income-tax related items. No significant adjustments were recorded in finalizing the purchase price allocation for Hemma during the nine months ended September 30,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Pro Forma Information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revenue and net (loss) income related to Hemma, BCCO, and OCC that is included in our consolidated results for the three and nine months ended September 30,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gridSpan w:val="6"/>
          </w:tcPr>
          <w:p>
            <w:pPr>
              <w:jc w:val="center"/>
              <w:ind w:left="970"/>
              <w:spacing w:after="0"/>
              <w:rPr>
                <w:sz w:val="20"/>
                <w:szCs w:val="20"/>
                <w:color w:val="auto"/>
              </w:rPr>
            </w:pPr>
            <w:r>
              <w:rPr>
                <w:rFonts w:ascii="Arial" w:cs="Arial" w:eastAsia="Arial" w:hAnsi="Arial"/>
                <w:sz w:val="18"/>
                <w:szCs w:val="18"/>
                <w:b w:val="1"/>
                <w:bCs w:val="1"/>
                <w:color w:val="auto"/>
                <w:w w:val="90"/>
              </w:rPr>
              <w:t>Three Months Ended September 30, 2022</w:t>
            </w:r>
          </w:p>
        </w:tc>
        <w:tc>
          <w:tcPr>
            <w:tcW w:w="15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5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800" w:type="dxa"/>
            <w:vAlign w:val="bottom"/>
            <w:gridSpan w:val="2"/>
          </w:tcPr>
          <w:p>
            <w:pPr>
              <w:ind w:left="340"/>
              <w:spacing w:after="0" w:line="156" w:lineRule="exact"/>
              <w:rPr>
                <w:sz w:val="20"/>
                <w:szCs w:val="20"/>
                <w:color w:val="auto"/>
              </w:rPr>
            </w:pPr>
            <w:r>
              <w:rPr>
                <w:rFonts w:ascii="Arial" w:cs="Arial" w:eastAsia="Arial" w:hAnsi="Arial"/>
                <w:sz w:val="18"/>
                <w:szCs w:val="18"/>
                <w:b w:val="1"/>
                <w:bCs w:val="1"/>
                <w:color w:val="auto"/>
              </w:rPr>
              <w:t>Hemma</w:t>
            </w:r>
          </w:p>
        </w:tc>
        <w:tc>
          <w:tcPr>
            <w:tcW w:w="460" w:type="dxa"/>
            <w:vAlign w:val="bottom"/>
          </w:tcPr>
          <w:p>
            <w:pPr>
              <w:spacing w:after="0"/>
              <w:rPr>
                <w:sz w:val="14"/>
                <w:szCs w:val="14"/>
                <w:color w:val="auto"/>
              </w:rPr>
            </w:pPr>
          </w:p>
        </w:tc>
        <w:tc>
          <w:tcPr>
            <w:tcW w:w="1800" w:type="dxa"/>
            <w:vAlign w:val="bottom"/>
            <w:gridSpan w:val="2"/>
          </w:tcPr>
          <w:p>
            <w:pPr>
              <w:jc w:val="center"/>
              <w:ind w:right="560"/>
              <w:spacing w:after="0" w:line="156" w:lineRule="exact"/>
              <w:rPr>
                <w:sz w:val="20"/>
                <w:szCs w:val="20"/>
                <w:color w:val="auto"/>
              </w:rPr>
            </w:pPr>
            <w:r>
              <w:rPr>
                <w:rFonts w:ascii="Arial" w:cs="Arial" w:eastAsia="Arial" w:hAnsi="Arial"/>
                <w:sz w:val="18"/>
                <w:szCs w:val="18"/>
                <w:b w:val="1"/>
                <w:bCs w:val="1"/>
                <w:color w:val="auto"/>
                <w:w w:val="98"/>
              </w:rPr>
              <w:t>BCCO</w:t>
            </w:r>
          </w:p>
        </w:tc>
        <w:tc>
          <w:tcPr>
            <w:tcW w:w="660" w:type="dxa"/>
            <w:vAlign w:val="bottom"/>
          </w:tcPr>
          <w:p>
            <w:pPr>
              <w:spacing w:after="0"/>
              <w:rPr>
                <w:sz w:val="14"/>
                <w:szCs w:val="14"/>
                <w:color w:val="auto"/>
              </w:rPr>
            </w:pPr>
          </w:p>
        </w:tc>
        <w:tc>
          <w:tcPr>
            <w:tcW w:w="1500" w:type="dxa"/>
            <w:vAlign w:val="bottom"/>
          </w:tcPr>
          <w:p>
            <w:pPr>
              <w:jc w:val="right"/>
              <w:ind w:right="790"/>
              <w:spacing w:after="0" w:line="156" w:lineRule="exact"/>
              <w:rPr>
                <w:sz w:val="20"/>
                <w:szCs w:val="20"/>
                <w:color w:val="auto"/>
              </w:rPr>
            </w:pPr>
            <w:r>
              <w:rPr>
                <w:rFonts w:ascii="Arial" w:cs="Arial" w:eastAsia="Arial" w:hAnsi="Arial"/>
                <w:sz w:val="18"/>
                <w:szCs w:val="18"/>
                <w:b w:val="1"/>
                <w:bCs w:val="1"/>
                <w:color w:val="auto"/>
              </w:rPr>
              <w:t>OCC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51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5"/>
          </w:tcPr>
          <w:p>
            <w:pPr>
              <w:ind w:left="1340"/>
              <w:spacing w:after="0"/>
              <w:rPr>
                <w:sz w:val="20"/>
                <w:szCs w:val="20"/>
                <w:color w:val="auto"/>
              </w:rPr>
            </w:pPr>
            <w:r>
              <w:rPr>
                <w:rFonts w:ascii="Arial" w:cs="Arial" w:eastAsia="Arial" w:hAnsi="Arial"/>
                <w:sz w:val="18"/>
                <w:szCs w:val="18"/>
                <w:b w:val="1"/>
                <w:bCs w:val="1"/>
                <w:color w:val="auto"/>
                <w:w w:val="91"/>
              </w:rPr>
              <w:t>Nine Months Ended September 30,</w:t>
            </w: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2022</w:t>
            </w:r>
          </w:p>
        </w:tc>
        <w:tc>
          <w:tcPr>
            <w:tcW w:w="15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5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800" w:type="dxa"/>
            <w:vAlign w:val="bottom"/>
            <w:gridSpan w:val="2"/>
          </w:tcPr>
          <w:p>
            <w:pPr>
              <w:ind w:left="340"/>
              <w:spacing w:after="0" w:line="156" w:lineRule="exact"/>
              <w:rPr>
                <w:sz w:val="20"/>
                <w:szCs w:val="20"/>
                <w:color w:val="auto"/>
              </w:rPr>
            </w:pPr>
            <w:r>
              <w:rPr>
                <w:rFonts w:ascii="Arial" w:cs="Arial" w:eastAsia="Arial" w:hAnsi="Arial"/>
                <w:sz w:val="18"/>
                <w:szCs w:val="18"/>
                <w:b w:val="1"/>
                <w:bCs w:val="1"/>
                <w:color w:val="auto"/>
              </w:rPr>
              <w:t>Hemma</w:t>
            </w:r>
          </w:p>
        </w:tc>
        <w:tc>
          <w:tcPr>
            <w:tcW w:w="460" w:type="dxa"/>
            <w:vAlign w:val="bottom"/>
          </w:tcPr>
          <w:p>
            <w:pPr>
              <w:spacing w:after="0"/>
              <w:rPr>
                <w:sz w:val="14"/>
                <w:szCs w:val="14"/>
                <w:color w:val="auto"/>
              </w:rPr>
            </w:pPr>
          </w:p>
        </w:tc>
        <w:tc>
          <w:tcPr>
            <w:tcW w:w="1800" w:type="dxa"/>
            <w:vAlign w:val="bottom"/>
            <w:gridSpan w:val="2"/>
          </w:tcPr>
          <w:p>
            <w:pPr>
              <w:jc w:val="center"/>
              <w:ind w:right="560"/>
              <w:spacing w:after="0" w:line="156" w:lineRule="exact"/>
              <w:rPr>
                <w:sz w:val="20"/>
                <w:szCs w:val="20"/>
                <w:color w:val="auto"/>
              </w:rPr>
            </w:pPr>
            <w:r>
              <w:rPr>
                <w:rFonts w:ascii="Arial" w:cs="Arial" w:eastAsia="Arial" w:hAnsi="Arial"/>
                <w:sz w:val="18"/>
                <w:szCs w:val="18"/>
                <w:b w:val="1"/>
                <w:bCs w:val="1"/>
                <w:color w:val="auto"/>
                <w:w w:val="98"/>
              </w:rPr>
              <w:t>BCCO</w:t>
            </w:r>
          </w:p>
        </w:tc>
        <w:tc>
          <w:tcPr>
            <w:tcW w:w="660" w:type="dxa"/>
            <w:vAlign w:val="bottom"/>
          </w:tcPr>
          <w:p>
            <w:pPr>
              <w:spacing w:after="0"/>
              <w:rPr>
                <w:sz w:val="14"/>
                <w:szCs w:val="14"/>
                <w:color w:val="auto"/>
              </w:rPr>
            </w:pPr>
          </w:p>
        </w:tc>
        <w:tc>
          <w:tcPr>
            <w:tcW w:w="1500" w:type="dxa"/>
            <w:vAlign w:val="bottom"/>
          </w:tcPr>
          <w:p>
            <w:pPr>
              <w:jc w:val="right"/>
              <w:ind w:right="790"/>
              <w:spacing w:after="0" w:line="156" w:lineRule="exact"/>
              <w:rPr>
                <w:sz w:val="20"/>
                <w:szCs w:val="20"/>
                <w:color w:val="auto"/>
              </w:rPr>
            </w:pPr>
            <w:r>
              <w:rPr>
                <w:rFonts w:ascii="Arial" w:cs="Arial" w:eastAsia="Arial" w:hAnsi="Arial"/>
                <w:sz w:val="18"/>
                <w:szCs w:val="18"/>
                <w:b w:val="1"/>
                <w:bCs w:val="1"/>
                <w:color w:val="auto"/>
              </w:rPr>
              <w:t>OCC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w:t>
            </w: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(1,619)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511</w:t>
            </w:r>
          </w:p>
        </w:tc>
      </w:tr>
    </w:tbl>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results of operations for the three and nine months ended September 30, 2021 include $126 of revenue for each period and $204 and $305, respectively, of net loss related to Hemma.</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 forma financial information is not presented for Hemma, BCCO, or OCC as such results are immaterial, individually and in aggregate, to both the current and prior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determined the acquisitions below did not meet the definition of a business and are therefore accounted for as asset acquisitions. When the Company acquires assets and liabilities that do not constitute a business or variable interest entity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0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Story of PA</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April 19, 2022, the Company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the Company intends to open a cultivation and processing facility and up to six medical dispensaries throughout the Commonwealth of Pennsylvania. The Company will help fund clinical research to benefit the patients of Pennsylvania by contributing $30,000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Geisinger over the next two years (of which $15,000 was funded in April 2022), and up to an additional $10,000 over the next ten years.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total acquisition cost was $100,203, as summarized in the table below, and was allocated to the license intangible asset acquired. The license will be amortized in accordance with the Company’s policy once operations commence.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Equity consideration</w:t>
            </w:r>
            <w:r>
              <w:rPr>
                <w:rFonts w:ascii="Arial" w:cs="Arial" w:eastAsia="Arial" w:hAnsi="Arial"/>
                <w:sz w:val="23"/>
                <w:szCs w:val="23"/>
                <w:color w:val="auto"/>
                <w:vertAlign w:val="superscript"/>
              </w:rPr>
              <w:t>(1)</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42,957</w:t>
            </w:r>
          </w:p>
        </w:tc>
      </w:tr>
      <w:tr>
        <w:trPr>
          <w:trHeight w:val="229"/>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10,170</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Geisinger funding commitment</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line="230" w:lineRule="exact"/>
              <w:rPr>
                <w:sz w:val="20"/>
                <w:szCs w:val="20"/>
                <w:color w:val="auto"/>
              </w:rPr>
            </w:pPr>
            <w:r>
              <w:rPr>
                <w:rFonts w:ascii="Arial" w:cs="Arial" w:eastAsia="Arial" w:hAnsi="Arial"/>
                <w:sz w:val="18"/>
                <w:szCs w:val="18"/>
                <w:color w:val="auto"/>
              </w:rPr>
              <w:t>Other liabilities assumed</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5,130</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Forgiveness of bridge loan</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initial investment</w:t>
            </w:r>
          </w:p>
        </w:tc>
        <w:tc>
          <w:tcPr>
            <w:tcW w:w="8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100,203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Comprised of 12,900 shares of Class A common stock with a fair value of $42,957 at issuance.</w:t>
      </w:r>
    </w:p>
    <w:p>
      <w:pPr>
        <w:spacing w:after="0" w:line="90" w:lineRule="exact"/>
        <w:rPr>
          <w:rFonts w:ascii="Arial" w:cs="Arial" w:eastAsia="Arial" w:hAnsi="Arial"/>
          <w:sz w:val="21"/>
          <w:szCs w:val="21"/>
          <w:color w:val="auto"/>
          <w:vertAlign w:val="superscript"/>
        </w:rPr>
      </w:pPr>
    </w:p>
    <w:p>
      <w:pPr>
        <w:jc w:val="both"/>
        <w:ind w:left="340" w:hanging="332"/>
        <w:spacing w:after="0" w:line="238" w:lineRule="auto"/>
        <w:tabs>
          <w:tab w:leader="none" w:pos="32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Of the total funding commitment, $15,000 was paid in April 2022 and $15,000 is due in April 2023 and is included within “Accounts payable and other accrued liabilities” on the unaudited Condensed Consolidated Balance Sheet at September 30, 2022. An additional $10,000 is due annually from the third anniversary of the transaction through the tenth anniversary based on a percentage of revenue (after operations commence) and is included within “Other non-current liabilities” on the unaudited Condensed Consolidated Balance Sheet at September 30, 2022.</w:t>
      </w:r>
    </w:p>
    <w:p>
      <w:pPr>
        <w:spacing w:after="0" w:line="104" w:lineRule="exact"/>
        <w:rPr>
          <w:rFonts w:ascii="Arial" w:cs="Arial" w:eastAsia="Arial" w:hAnsi="Arial"/>
          <w:sz w:val="21"/>
          <w:szCs w:val="21"/>
          <w:color w:val="auto"/>
          <w:vertAlign w:val="superscript"/>
        </w:rPr>
      </w:pPr>
    </w:p>
    <w:p>
      <w:pPr>
        <w:jc w:val="both"/>
        <w:ind w:left="340" w:hanging="332"/>
        <w:spacing w:after="0" w:line="276" w:lineRule="auto"/>
        <w:tabs>
          <w:tab w:leader="none" w:pos="328"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Liabilities related to two consulting agreements assumed in the transaction. A total of $2,772 related to one agreement was paid during the second quarter of 2022. A total of $944 due under the second agreement was paid during the nine months ended September 30, 2022 and a total of $1,414 is due, in quarterly payments, through June 2023 and is included within “Accounts payable and other accrued liabilities” on the unaudited Condensed Consolidated Balance Sheet at September 30, 2022.</w:t>
      </w:r>
    </w:p>
    <w:p>
      <w:pPr>
        <w:spacing w:after="0" w:line="45" w:lineRule="exact"/>
        <w:rPr>
          <w:rFonts w:ascii="Arial" w:cs="Arial" w:eastAsia="Arial" w:hAnsi="Arial"/>
          <w:sz w:val="18"/>
          <w:szCs w:val="18"/>
          <w:color w:val="auto"/>
          <w:vertAlign w:val="superscript"/>
        </w:rPr>
      </w:pPr>
    </w:p>
    <w:p>
      <w:pPr>
        <w:ind w:left="320" w:hanging="312"/>
        <w:spacing w:after="0"/>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Refer to Note 6, “Notes Receivable,” for additional information on the bridge loan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Ohio Patient Access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purchase price per the Ohio Agreement consists of total cash consideration of $22,300. The Ohio Agreement also includes an earn-out provision of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 average price of the Class A shares immediately preceding the date the earn-out provision is achieved. If the sellers elect to receive Class A shares for the earn-out, those shares would be issued pursuant to the exemption from registration contained in Section 4(a)(2)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Company determined OPA is a VIE and the Company became the primary beneficiary as of the signing date; therefore, OPA is consolidated as a VIE. To account for the initial consolidation of OPA, management applied the acquisition method discussed above. The total estimated fair value of the transaction consideration was determined to be $24,132 and consists of the fair value of the cash consideration of $19,290 plus the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accompanying unaudited Condensed Consolidated Balance Sheet at September 30, 2022; refer to Note 11, “Debt,” for additional information. The estimated fair value of the contingent consideration was determined utilizing an income approach based on a probability-weighted estimate of the future payment and is included within “Other non-current liabilities” on the accompanying unaudited Condensed Consolidated Balance Sheet at September 30, 2022. The Company determined the fair value of any noncontrolling interest is </w:t>
      </w:r>
      <w:r>
        <w:rPr>
          <w:rFonts w:ascii="Arial" w:cs="Arial" w:eastAsia="Arial" w:hAnsi="Arial"/>
          <w:sz w:val="17"/>
          <w:szCs w:val="17"/>
          <w:i w:val="1"/>
          <w:iCs w:val="1"/>
          <w:color w:val="auto"/>
        </w:rPr>
        <w:t>de minimis</w:t>
      </w:r>
      <w:r>
        <w:rPr>
          <w:rFonts w:ascii="Arial" w:cs="Arial" w:eastAsia="Arial" w:hAnsi="Arial"/>
          <w:sz w:val="17"/>
          <w:szCs w:val="17"/>
          <w:color w:val="auto"/>
        </w:rPr>
        <w:t>.</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license intangible asset acquired was determined to have an estimated fair value of $21,684 and the three properties had an estimated fair value of $2,448, which was determined using a market approach based on the total transaction consideration. The license acquired will be amortized in accordance with the Company’s policy once operations commence. Direct transaction expenses of $224 are included in “General and administrative expenses” on the accompanying unaudited Condensed Consolidated Statements of Operations for the three and nine months ended September 30, 2022. Refer to Note 8, “Variable Interest Entities,” for additional information regarding the Company’s VIEs.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Licenses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2022, the Company entered into definitive agreements to acquire two additional licenses in Illinois. Neither of these licenses were associated with active operations at signing and the transfer of each license is subject to regulatory review and approval.</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and is included as a sellers’ note within “Current portion of debt, net” on the accompanying unaudited Condensed Consolidated Balance Sheet at September 30, 2022; refer to Note 11, “Debt,” for additional information. Direct transaction expenses were immaterial.</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second transaction was entered on August 12, 2022 for total cash consideration of $5,600. The Company accounted for this transaction as an asset acquisition and allocated the cash consideration as the cost of the license acquired. The consideration will be paid at final closing and is included as a sellers’ note within “Current portion of debt, net” on the accompanying unaudited Condensed Consolidated Balance Sheet at September 30, 2022. Direct transaction expenses were immaterial.</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licenses acquired will be amortized in accordance with the Company’s policy once the related operations commence.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5. INVENTORY</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Arial" w:cs="Arial" w:eastAsia="Arial" w:hAnsi="Arial"/>
                <w:sz w:val="18"/>
                <w:szCs w:val="18"/>
                <w:color w:val="auto"/>
              </w:rPr>
              <w:t>The components of inventory are as follows:</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28,235</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28,454</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compensation expense capitalized to inventory was $14,406 and $10,860 during the three months ended September 30, 2022 and 2021, respectively, and $39,961 and $25,381 during the nine months ended September 30, 2022 and 2021, respectively. At September 30, 2022 and December 31, 2021, $11,483 and $8,571, respectively, of compensation expense remained capitalized as part of inventory.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6. NOTES RECEIVABLE</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MMNY - working capital loan</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Arial" w:cs="Arial" w:eastAsia="Arial" w:hAnsi="Arial"/>
                <w:sz w:val="18"/>
                <w:szCs w:val="18"/>
                <w:color w:val="auto"/>
              </w:rPr>
              <w:t>Marichron - note receivable</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Marichron - working capital loan</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340" w:hanging="332"/>
        <w:spacing w:after="0" w:line="247"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The Company is pursuing collection of the amounts due under this working capital advance agreement through its legal proceedings against MMNY. Refer to Note 15, “Commitments and Contingencies,” for additional information.</w:t>
      </w:r>
    </w:p>
    <w:p>
      <w:pPr>
        <w:spacing w:after="0" w:line="86" w:lineRule="exact"/>
        <w:rPr>
          <w:rFonts w:ascii="Arial" w:cs="Arial" w:eastAsia="Arial" w:hAnsi="Arial"/>
          <w:sz w:val="21"/>
          <w:szCs w:val="21"/>
          <w:color w:val="auto"/>
          <w:vertAlign w:val="superscript"/>
        </w:rPr>
      </w:pPr>
    </w:p>
    <w:p>
      <w:pPr>
        <w:jc w:val="both"/>
        <w:ind w:left="340" w:hanging="332"/>
        <w:spacing w:after="0" w:line="262" w:lineRule="auto"/>
        <w:tabs>
          <w:tab w:leader="none" w:pos="328"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In April 2019, the Company issued a $1,500 promissory note to Marichron Pharma LLC (“Marichron”), an unrelated third party, with a stated interest rate of 12% per year. The Company also entered into a working capital line of credit with Marichron, allowing for maximum borrowings of $1,000. The promissory note and working capital line of credit were issued in conjunction with a unit purchase option agreement that the parties entered into during 2019 and were issued to provide Marichron with additional funding for operations while awaiting state approval of the transaction. The Company submitted a license transfer application to the state in June 2022, which was approved in September 2022. Following the approval, the Company exercised its option under the unit purchase agreement and acquired Marichron effective October 14, 2022, as further described in Note 18, “Subsequent Events” and the total amounts outstanding were settled at closing.</w:t>
      </w:r>
    </w:p>
    <w:p>
      <w:pPr>
        <w:spacing w:after="0" w:line="76" w:lineRule="exact"/>
        <w:rPr>
          <w:rFonts w:ascii="Arial" w:cs="Arial" w:eastAsia="Arial" w:hAnsi="Arial"/>
          <w:sz w:val="20"/>
          <w:szCs w:val="20"/>
          <w:color w:val="auto"/>
          <w:vertAlign w:val="superscript"/>
        </w:rPr>
      </w:pPr>
    </w:p>
    <w:p>
      <w:pPr>
        <w:jc w:val="both"/>
        <w:ind w:left="340" w:hanging="332"/>
        <w:spacing w:after="0" w:line="242" w:lineRule="auto"/>
        <w:tabs>
          <w:tab w:leader="none" w:pos="32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 November 2021, the Company issued a bridge loan to Story of PA that provided for maximum borrowings of up to $16,000 with an interest rate of 9% per annum, which had an outstanding balance of $500 at December 31, 2021. Repayment was due at maturity in November 2023 or upon an event of default (as defined in the bridge loan agreement). In April 2022, the Company acquired the outstanding equity interests of Story of PA (refer to Note 4, “Acquisitions”) and settled the balance of $1,349 due under the bridge loan as additional consideration at closing.</w:t>
      </w:r>
    </w:p>
    <w:p>
      <w:pPr>
        <w:spacing w:after="0" w:line="90" w:lineRule="exact"/>
        <w:rPr>
          <w:rFonts w:ascii="Arial" w:cs="Arial" w:eastAsia="Arial" w:hAnsi="Arial"/>
          <w:sz w:val="21"/>
          <w:szCs w:val="21"/>
          <w:color w:val="auto"/>
          <w:vertAlign w:val="superscript"/>
        </w:rPr>
      </w:pPr>
    </w:p>
    <w:p>
      <w:pPr>
        <w:jc w:val="both"/>
        <w:ind w:left="340"/>
        <w:spacing w:after="0" w:line="262" w:lineRule="auto"/>
        <w:rPr>
          <w:rFonts w:ascii="Arial" w:cs="Arial" w:eastAsia="Arial" w:hAnsi="Arial"/>
          <w:sz w:val="21"/>
          <w:szCs w:val="21"/>
          <w:color w:val="auto"/>
          <w:vertAlign w:val="superscript"/>
        </w:rPr>
      </w:pPr>
      <w:r>
        <w:rPr>
          <w:rFonts w:ascii="Arial" w:cs="Arial" w:eastAsia="Arial" w:hAnsi="Arial"/>
          <w:sz w:val="16"/>
          <w:szCs w:val="16"/>
          <w:color w:val="auto"/>
        </w:rPr>
        <w:t>In May 2022 the Company issued a secured promissory note to a retail dispensary license holder in Massachusetts providing up to $3,500 of funding (the “Massachusetts Note”), of which $651 is outstanding as of September 30, 2022. The Massachusetts Note accrues interest at a fixed annual rate of 11.5%. Following the opening of the borrower’s retail dispensary, the principal amount is due monthly through the maturity date of May 25, 2026. The borrower may prepay the outstanding principal amount, plus accrued interest thereon. Borrowings under the Massachusetts Note are secured by the assets of the borrower. The borrower is partially owned by an entity that is managed, in part, by one of the founders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a total of $4,220 is outstanding at September 30, 2022 related to a promissory note issued to the owner of a property the Company is leasing, of which $161 and $4,059 is included in “Other current assets” and “Other noncurrent assets,” respectively, on the unaudited Condensed Consolidated Balance Sheet. At December 31, 2021, $4,337 was outstanding, of which $156 and $4,181 is included in “Other current assets” and “Other noncurrent assets,” respectively, on the unaudited Condensed Consolidated Balance Sheet.</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not identified any collectability concerns as of September 30, 2022 for the amounts due under notes receivable. No impairment losses on notes receivable were recognized during the nine months ended September 30, 2022 or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3"/>
          </w:tcPr>
          <w:p>
            <w:pPr>
              <w:spacing w:after="0"/>
              <w:rPr>
                <w:sz w:val="20"/>
                <w:szCs w:val="20"/>
                <w:color w:val="auto"/>
              </w:rPr>
            </w:pPr>
            <w:r>
              <w:rPr>
                <w:rFonts w:ascii="Arial" w:cs="Arial" w:eastAsia="Arial" w:hAnsi="Arial"/>
                <w:sz w:val="18"/>
                <w:szCs w:val="18"/>
                <w:b w:val="1"/>
                <w:bCs w:val="1"/>
                <w:color w:val="auto"/>
              </w:rPr>
              <w:t>7. PROPERTY AND EQUIPMENT</w:t>
            </w: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800" w:type="dxa"/>
            <w:vAlign w:val="bottom"/>
            <w:gridSpan w:val="2"/>
          </w:tcPr>
          <w:p>
            <w:pPr>
              <w:ind w:left="640"/>
              <w:spacing w:after="0"/>
              <w:rPr>
                <w:sz w:val="20"/>
                <w:szCs w:val="20"/>
                <w:color w:val="auto"/>
              </w:rPr>
            </w:pPr>
            <w:r>
              <w:rPr>
                <w:rFonts w:ascii="Arial" w:cs="Arial" w:eastAsia="Arial" w:hAnsi="Arial"/>
                <w:sz w:val="18"/>
                <w:szCs w:val="18"/>
                <w:color w:val="auto"/>
              </w:rPr>
              <w:t>Property and equipment consists of the following:</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24"/>
                <w:szCs w:val="24"/>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4"/>
                <w:szCs w:val="24"/>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57,940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49,058</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45,663</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35,260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60,986</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gross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307,454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260,985</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268,456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239,656</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depreciation expense was $6,405 and $4,100 during the three months ended September 30, 2022 and 2021, respectively, and $18,079 and $10,560 during the nine months ended September 30, 2022 and 2021, respectively. Total depreciation expense capitalized to inventory was $4,657 and $2,851 during the three months ended September 30, 2022 and 2021, respectively, and $13,629 and $7,185 during the nine months ended September 30, 2022 and 2021, respectively. At September 30, 2022 and December 31, 2021, $4,367 and $2,070, respectively, of depreciation expense remained capitalized as part of inventory.</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2022, the Company entered into a master lease agreement under which we may lease equipment pursuant to individual lease agreements, up to $15,000 in aggregate. The table above includes equipment rented under these finance leases with a gross value of $982 and accumulated amortization of $26 as of September 30, 2022. Refer to Note 10, “Leases,” for additional information regarding our lease arrangements.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2022, we recognized a loss of $874 related to the sale of three properties, net of a $72 gain on sale recognized during the nine months ended September 30, 2022, which is included within “General and administrative expenses” on the unaudited Condensed Consolidated Statement of Operations, and wrote-off a total of $410 of accumulated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assess all variable interests in the entity and use our judgment when determining if we are the primary beneficiary. Other qualitative factors that are considered include decision-making responsibilities, the VIE capital structure, risk and rewards sharing, 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1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Where we determine we are the primary beneficiary of a VIE, we consolidate the accounts of that VIE. The equity owned by other stockholders is shown as non-controlling interests in the accompanying unaudited Condensed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10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following tables present the summarized financial information about the Company’s consolidated VIEs that are included in the unaudited Condensed Consolidated Balance Sheets as of September 30, 2022 and December 31, 2021 and in the unaudited Condensed Consolidated Statements of Operations for the three and nine months ended September 30, 2022 and 2021, as applicable. These entities were determined to be VIEs since the Company possesses the power to direct the significant activities of the VIEs and has the obligation to absorb losses or the right to receive benefits from the VIEs.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 2022</w:t>
            </w:r>
          </w:p>
        </w:tc>
        <w:tc>
          <w:tcPr>
            <w:tcW w:w="240" w:type="dxa"/>
            <w:vAlign w:val="bottom"/>
          </w:tcPr>
          <w:p>
            <w:pPr>
              <w:spacing w:after="0"/>
              <w:rPr>
                <w:sz w:val="20"/>
                <w:szCs w:val="20"/>
                <w:color w:val="auto"/>
              </w:rPr>
            </w:pPr>
          </w:p>
        </w:tc>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December 31, 2021</w:t>
            </w: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b w:val="1"/>
                <w:bCs w:val="1"/>
                <w:color w:val="auto"/>
                <w:w w:val="90"/>
              </w:rPr>
              <w:t>Ohio Patient</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160" w:type="dxa"/>
            <w:vAlign w:val="bottom"/>
            <w:tcBorders>
              <w:top w:val="single" w:sz="8" w:color="auto"/>
            </w:tcBorders>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Ascend Illinois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2"/>
              </w:rPr>
              <w:t>Access</w:t>
            </w:r>
          </w:p>
        </w:tc>
        <w:tc>
          <w:tcPr>
            <w:tcW w:w="240" w:type="dxa"/>
            <w:vAlign w:val="bottom"/>
          </w:tcPr>
          <w:p>
            <w:pPr>
              <w:spacing w:after="0"/>
              <w:rPr>
                <w:sz w:val="16"/>
                <w:szCs w:val="16"/>
                <w:color w:val="auto"/>
              </w:rPr>
            </w:pPr>
          </w:p>
        </w:tc>
        <w:tc>
          <w:tcPr>
            <w:tcW w:w="216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88"/>
              </w:rPr>
              <w:t>Ascend Illinois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111,118</w:t>
            </w:r>
          </w:p>
        </w:tc>
      </w:tr>
      <w:tr>
        <w:trPr>
          <w:trHeight w:val="229"/>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181,800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171,566</w:t>
            </w: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71,264</w:t>
            </w:r>
          </w:p>
        </w:tc>
      </w:tr>
      <w:tr>
        <w:trPr>
          <w:trHeight w:val="230"/>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126,397</w:t>
            </w: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41,873</w:t>
            </w:r>
          </w:p>
        </w:tc>
      </w:tr>
      <w:tr>
        <w:trPr>
          <w:trHeight w:val="45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24"/>
                <w:szCs w:val="24"/>
                <w:color w:val="auto"/>
              </w:rPr>
            </w:pPr>
          </w:p>
        </w:tc>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Three Months Ended</w:t>
            </w: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 2022</w:t>
            </w:r>
          </w:p>
        </w:tc>
        <w:tc>
          <w:tcPr>
            <w:tcW w:w="240" w:type="dxa"/>
            <w:vAlign w:val="bottom"/>
          </w:tcPr>
          <w:p>
            <w:pPr>
              <w:spacing w:after="0"/>
              <w:rPr>
                <w:sz w:val="20"/>
                <w:szCs w:val="20"/>
                <w:color w:val="auto"/>
              </w:rPr>
            </w:pPr>
          </w:p>
        </w:tc>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September 30, 2021</w:t>
            </w:r>
          </w:p>
        </w:tc>
      </w:tr>
      <w:tr>
        <w:trPr>
          <w:trHeight w:val="17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70"/>
              <w:spacing w:after="0" w:line="173" w:lineRule="exact"/>
              <w:rPr>
                <w:sz w:val="20"/>
                <w:szCs w:val="20"/>
                <w:color w:val="auto"/>
              </w:rPr>
            </w:pPr>
            <w:r>
              <w:rPr>
                <w:rFonts w:ascii="Arial" w:cs="Arial" w:eastAsia="Arial" w:hAnsi="Arial"/>
                <w:sz w:val="18"/>
                <w:szCs w:val="18"/>
                <w:b w:val="1"/>
                <w:bCs w:val="1"/>
                <w:color w:val="auto"/>
                <w:w w:val="90"/>
              </w:rPr>
              <w:t>Ohio Patient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Ascend Illinois</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2"/>
              </w:rPr>
              <w:t>Access</w:t>
            </w:r>
          </w:p>
        </w:tc>
        <w:tc>
          <w:tcPr>
            <w:tcW w:w="240" w:type="dxa"/>
            <w:vAlign w:val="bottom"/>
          </w:tcPr>
          <w:p>
            <w:pPr>
              <w:spacing w:after="0"/>
              <w:rPr>
                <w:sz w:val="16"/>
                <w:szCs w:val="16"/>
                <w:color w:val="auto"/>
              </w:rPr>
            </w:pPr>
          </w:p>
        </w:tc>
        <w:tc>
          <w:tcPr>
            <w:tcW w:w="216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88"/>
              </w:rPr>
              <w:t>Ascend Illinois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75,470</w:t>
            </w:r>
          </w:p>
        </w:tc>
      </w:tr>
      <w:tr>
        <w:trPr>
          <w:trHeight w:val="230"/>
        </w:trPr>
        <w:tc>
          <w:tcPr>
            <w:tcW w:w="2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9,167</w:t>
            </w:r>
          </w:p>
        </w:tc>
      </w:tr>
      <w:tr>
        <w:trPr>
          <w:trHeight w:val="45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2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 2022</w:t>
            </w:r>
          </w:p>
        </w:tc>
        <w:tc>
          <w:tcPr>
            <w:tcW w:w="240" w:type="dxa"/>
            <w:vAlign w:val="bottom"/>
          </w:tcPr>
          <w:p>
            <w:pPr>
              <w:spacing w:after="0"/>
              <w:rPr>
                <w:sz w:val="20"/>
                <w:szCs w:val="20"/>
                <w:color w:val="auto"/>
              </w:rPr>
            </w:pPr>
          </w:p>
        </w:tc>
        <w:tc>
          <w:tcPr>
            <w:tcW w:w="2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September 30, 2021</w:t>
            </w:r>
          </w:p>
        </w:tc>
      </w:tr>
      <w:tr>
        <w:trPr>
          <w:trHeight w:val="178"/>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ind w:right="70"/>
              <w:spacing w:after="0" w:line="177" w:lineRule="exact"/>
              <w:rPr>
                <w:sz w:val="20"/>
                <w:szCs w:val="20"/>
                <w:color w:val="auto"/>
              </w:rPr>
            </w:pPr>
            <w:r>
              <w:rPr>
                <w:rFonts w:ascii="Arial" w:cs="Arial" w:eastAsia="Arial" w:hAnsi="Arial"/>
                <w:sz w:val="18"/>
                <w:szCs w:val="18"/>
                <w:b w:val="1"/>
                <w:bCs w:val="1"/>
                <w:color w:val="auto"/>
                <w:w w:val="90"/>
              </w:rPr>
              <w:t>Ohio Patient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1400" w:type="dxa"/>
            <w:vAlign w:val="bottom"/>
            <w:gridSpan w:val="2"/>
          </w:tcPr>
          <w:p>
            <w:pPr>
              <w:ind w:left="20"/>
              <w:spacing w:after="0" w:line="160" w:lineRule="exact"/>
              <w:rPr>
                <w:sz w:val="20"/>
                <w:szCs w:val="20"/>
                <w:color w:val="auto"/>
              </w:rPr>
            </w:pPr>
            <w:r>
              <w:rPr>
                <w:rFonts w:ascii="Arial" w:cs="Arial" w:eastAsia="Arial" w:hAnsi="Arial"/>
                <w:sz w:val="18"/>
                <w:szCs w:val="18"/>
                <w:b w:val="1"/>
                <w:bCs w:val="1"/>
                <w:color w:val="auto"/>
              </w:rPr>
              <w:t>Ascend Illinois</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60" w:lineRule="exact"/>
              <w:rPr>
                <w:sz w:val="20"/>
                <w:szCs w:val="20"/>
                <w:color w:val="auto"/>
              </w:rPr>
            </w:pPr>
            <w:r>
              <w:rPr>
                <w:rFonts w:ascii="Arial" w:cs="Arial" w:eastAsia="Arial" w:hAnsi="Arial"/>
                <w:sz w:val="18"/>
                <w:szCs w:val="18"/>
                <w:b w:val="1"/>
                <w:bCs w:val="1"/>
                <w:color w:val="auto"/>
                <w:w w:val="82"/>
              </w:rPr>
              <w:t>Access</w:t>
            </w:r>
          </w:p>
        </w:tc>
        <w:tc>
          <w:tcPr>
            <w:tcW w:w="240" w:type="dxa"/>
            <w:vAlign w:val="bottom"/>
          </w:tcPr>
          <w:p>
            <w:pPr>
              <w:spacing w:after="0"/>
              <w:rPr>
                <w:sz w:val="15"/>
                <w:szCs w:val="15"/>
                <w:color w:val="auto"/>
              </w:rPr>
            </w:pPr>
          </w:p>
        </w:tc>
        <w:tc>
          <w:tcPr>
            <w:tcW w:w="2160" w:type="dxa"/>
            <w:vAlign w:val="bottom"/>
          </w:tcPr>
          <w:p>
            <w:pPr>
              <w:jc w:val="center"/>
              <w:ind w:right="150"/>
              <w:spacing w:after="0" w:line="160" w:lineRule="exact"/>
              <w:rPr>
                <w:sz w:val="20"/>
                <w:szCs w:val="20"/>
                <w:color w:val="auto"/>
              </w:rPr>
            </w:pPr>
            <w:r>
              <w:rPr>
                <w:rFonts w:ascii="Arial" w:cs="Arial" w:eastAsia="Arial" w:hAnsi="Arial"/>
                <w:sz w:val="18"/>
                <w:szCs w:val="18"/>
                <w:b w:val="1"/>
                <w:bCs w:val="1"/>
                <w:color w:val="auto"/>
                <w:w w:val="88"/>
              </w:rPr>
              <w:t>Ascend Illinois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198,291</w:t>
            </w:r>
          </w:p>
        </w:tc>
      </w:tr>
      <w:tr>
        <w:trPr>
          <w:trHeight w:val="230"/>
        </w:trPr>
        <w:tc>
          <w:tcPr>
            <w:tcW w:w="2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22,034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25,590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7680" w:firstLine="8"/>
        <w:spacing w:after="0" w:line="461"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w:t>
      </w: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2040" w:type="dxa"/>
            <w:vAlign w:val="bottom"/>
            <w:gridSpan w:val="2"/>
          </w:tcPr>
          <w:p>
            <w:pPr>
              <w:ind w:left="120"/>
              <w:spacing w:after="0" w:line="162" w:lineRule="exact"/>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15"/>
                <w:szCs w:val="15"/>
                <w:color w:val="auto"/>
              </w:rPr>
            </w:pPr>
          </w:p>
        </w:tc>
        <w:tc>
          <w:tcPr>
            <w:tcW w:w="1920" w:type="dxa"/>
            <w:vAlign w:val="bottom"/>
          </w:tcPr>
          <w:p>
            <w:pPr>
              <w:jc w:val="right"/>
              <w:ind w:right="270"/>
              <w:spacing w:after="0" w:line="162" w:lineRule="exact"/>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Licenses and permits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188,268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55,281</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In-place leases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r>
      <w:tr>
        <w:trPr>
          <w:trHeight w:val="229"/>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75,624</w:t>
            </w:r>
          </w:p>
        </w:tc>
      </w:tr>
      <w:tr>
        <w:trPr>
          <w:trHeight w:val="209"/>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Licenses and permits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r>
      <w:tr>
        <w:trPr>
          <w:trHeight w:val="229"/>
        </w:trPr>
        <w:tc>
          <w:tcPr>
            <w:tcW w:w="20" w:type="dxa"/>
            <w:vAlign w:val="bottom"/>
          </w:tcPr>
          <w:p>
            <w:pPr>
              <w:spacing w:after="0"/>
              <w:rPr>
                <w:sz w:val="19"/>
                <w:szCs w:val="19"/>
                <w:color w:val="auto"/>
              </w:rPr>
            </w:pPr>
          </w:p>
        </w:tc>
        <w:tc>
          <w:tcPr>
            <w:tcW w:w="6800" w:type="dxa"/>
            <w:vAlign w:val="bottom"/>
            <w:gridSpan w:val="2"/>
          </w:tcPr>
          <w:p>
            <w:pPr>
              <w:ind w:left="220"/>
              <w:spacing w:after="0"/>
              <w:rPr>
                <w:sz w:val="20"/>
                <w:szCs w:val="20"/>
                <w:color w:val="auto"/>
              </w:rPr>
            </w:pPr>
            <w:r>
              <w:rPr>
                <w:rFonts w:ascii="Arial" w:cs="Arial" w:eastAsia="Arial" w:hAnsi="Arial"/>
                <w:sz w:val="18"/>
                <w:szCs w:val="18"/>
                <w:color w:val="auto"/>
              </w:rPr>
              <w:t>In-place leases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(10,558)</w:t>
            </w:r>
          </w:p>
        </w:tc>
      </w:tr>
      <w:tr>
        <w:trPr>
          <w:trHeight w:val="230"/>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names</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9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(16,353)</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 intangible assets,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59,271</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Amortization expense was $1,931 and $1,678 during the three </w:t>
      </w:r>
      <w:r>
        <w:rPr>
          <w:rFonts w:ascii="Arial" w:cs="Arial" w:eastAsia="Arial" w:hAnsi="Arial"/>
          <w:sz w:val="16"/>
          <w:szCs w:val="16"/>
          <w:color w:val="070707"/>
        </w:rPr>
        <w:t>months ended September 30, 2022 and 2021, respectively, and</w:t>
      </w:r>
      <w:r>
        <w:rPr>
          <w:rFonts w:ascii="Arial" w:cs="Arial" w:eastAsia="Arial" w:hAnsi="Arial"/>
          <w:sz w:val="16"/>
          <w:szCs w:val="16"/>
          <w:color w:val="auto"/>
        </w:rPr>
        <w:t xml:space="preserve"> $5,832 </w:t>
      </w:r>
      <w:r>
        <w:rPr>
          <w:rFonts w:ascii="Arial" w:cs="Arial" w:eastAsia="Arial" w:hAnsi="Arial"/>
          <w:sz w:val="16"/>
          <w:szCs w:val="16"/>
          <w:color w:val="070707"/>
        </w:rPr>
        <w:t>and</w:t>
      </w:r>
      <w:r>
        <w:rPr>
          <w:rFonts w:ascii="Arial" w:cs="Arial" w:eastAsia="Arial" w:hAnsi="Arial"/>
          <w:sz w:val="16"/>
          <w:szCs w:val="16"/>
          <w:color w:val="auto"/>
        </w:rPr>
        <w:t xml:space="preserve"> $5,050 during the nine months ended </w:t>
      </w:r>
      <w:r>
        <w:rPr>
          <w:rFonts w:ascii="Arial" w:cs="Arial" w:eastAsia="Arial" w:hAnsi="Arial"/>
          <w:sz w:val="16"/>
          <w:szCs w:val="16"/>
          <w:color w:val="070707"/>
        </w:rPr>
        <w:t>September 30, 2022 and 2021, respectively. Total amortization expense capitalized to inventory was $407 during the each of</w:t>
      </w:r>
      <w:r>
        <w:rPr>
          <w:rFonts w:ascii="Arial" w:cs="Arial" w:eastAsia="Arial" w:hAnsi="Arial"/>
          <w:sz w:val="16"/>
          <w:szCs w:val="16"/>
          <w:color w:val="auto"/>
        </w:rPr>
        <w:t xml:space="preserve"> </w:t>
      </w:r>
      <w:r>
        <w:rPr>
          <w:rFonts w:ascii="Arial" w:cs="Arial" w:eastAsia="Arial" w:hAnsi="Arial"/>
          <w:sz w:val="16"/>
          <w:szCs w:val="16"/>
          <w:color w:val="070707"/>
        </w:rPr>
        <w:t xml:space="preserve">the </w:t>
      </w:r>
      <w:r>
        <w:rPr>
          <w:rFonts w:ascii="Arial" w:cs="Arial" w:eastAsia="Arial" w:hAnsi="Arial"/>
          <w:sz w:val="16"/>
          <w:szCs w:val="16"/>
          <w:color w:val="000000"/>
        </w:rPr>
        <w:t>three</w:t>
      </w:r>
      <w:r>
        <w:rPr>
          <w:rFonts w:ascii="Arial" w:cs="Arial" w:eastAsia="Arial" w:hAnsi="Arial"/>
          <w:sz w:val="16"/>
          <w:szCs w:val="16"/>
          <w:color w:val="070707"/>
        </w:rPr>
        <w:t xml:space="preserve"> months ended September 30, 2022 and 2021 and </w:t>
      </w:r>
      <w:r>
        <w:rPr>
          <w:rFonts w:ascii="Arial" w:cs="Arial" w:eastAsia="Arial" w:hAnsi="Arial"/>
          <w:sz w:val="16"/>
          <w:szCs w:val="16"/>
          <w:color w:val="000000"/>
        </w:rPr>
        <w:t>$1,221</w:t>
      </w:r>
      <w:r>
        <w:rPr>
          <w:rFonts w:ascii="Arial" w:cs="Arial" w:eastAsia="Arial" w:hAnsi="Arial"/>
          <w:sz w:val="16"/>
          <w:szCs w:val="16"/>
          <w:color w:val="070707"/>
        </w:rPr>
        <w:t xml:space="preserve"> and </w:t>
      </w:r>
      <w:r>
        <w:rPr>
          <w:rFonts w:ascii="Arial" w:cs="Arial" w:eastAsia="Arial" w:hAnsi="Arial"/>
          <w:sz w:val="16"/>
          <w:szCs w:val="16"/>
          <w:color w:val="000000"/>
        </w:rPr>
        <w:t>$1,016 during the nine months ended</w:t>
      </w:r>
      <w:r>
        <w:rPr>
          <w:rFonts w:ascii="Arial" w:cs="Arial" w:eastAsia="Arial" w:hAnsi="Arial"/>
          <w:sz w:val="16"/>
          <w:szCs w:val="16"/>
          <w:color w:val="070707"/>
        </w:rPr>
        <w:t xml:space="preserve"> September 30, 2022 and 2021, respectively. </w:t>
      </w:r>
      <w:r>
        <w:rPr>
          <w:rFonts w:ascii="Arial" w:cs="Arial" w:eastAsia="Arial" w:hAnsi="Arial"/>
          <w:sz w:val="16"/>
          <w:szCs w:val="16"/>
          <w:color w:val="000000"/>
        </w:rPr>
        <w:t>At</w:t>
      </w:r>
      <w:r>
        <w:rPr>
          <w:rFonts w:ascii="Arial" w:cs="Arial" w:eastAsia="Arial" w:hAnsi="Arial"/>
          <w:sz w:val="16"/>
          <w:szCs w:val="16"/>
          <w:color w:val="070707"/>
        </w:rPr>
        <w:t xml:space="preserve"> </w:t>
      </w:r>
      <w:r>
        <w:rPr>
          <w:rFonts w:ascii="Arial" w:cs="Arial" w:eastAsia="Arial" w:hAnsi="Arial"/>
          <w:sz w:val="16"/>
          <w:szCs w:val="16"/>
          <w:color w:val="000000"/>
        </w:rPr>
        <w:t>September 30, 2022 and December 31, 2021, $778 and $502, respectively, of amortization expense remained capitalized as part of inventory.</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70707"/>
        </w:rPr>
        <w:t xml:space="preserve">No impairment indicators were noted during the </w:t>
      </w:r>
      <w:r>
        <w:rPr>
          <w:rFonts w:ascii="Arial" w:cs="Arial" w:eastAsia="Arial" w:hAnsi="Arial"/>
          <w:sz w:val="18"/>
          <w:szCs w:val="18"/>
          <w:color w:val="000000"/>
        </w:rPr>
        <w:t>nine</w:t>
      </w:r>
      <w:r>
        <w:rPr>
          <w:rFonts w:ascii="Arial" w:cs="Arial" w:eastAsia="Arial" w:hAnsi="Arial"/>
          <w:sz w:val="18"/>
          <w:szCs w:val="18"/>
          <w:color w:val="070707"/>
        </w:rPr>
        <w:t xml:space="preserve"> months ended September 30, 2022 or 2021 and, as such, w</w:t>
      </w:r>
      <w:r>
        <w:rPr>
          <w:rFonts w:ascii="Arial" w:cs="Arial" w:eastAsia="Arial" w:hAnsi="Arial"/>
          <w:sz w:val="18"/>
          <w:szCs w:val="18"/>
          <w:color w:val="000000"/>
        </w:rPr>
        <w:t>e did not record any impairment</w:t>
      </w:r>
      <w:r>
        <w:rPr>
          <w:rFonts w:ascii="Arial" w:cs="Arial" w:eastAsia="Arial" w:hAnsi="Arial"/>
          <w:sz w:val="18"/>
          <w:szCs w:val="18"/>
          <w:color w:val="070707"/>
        </w:rPr>
        <w:t xml:space="preserve"> </w:t>
      </w:r>
      <w:r>
        <w:rPr>
          <w:rFonts w:ascii="Arial" w:cs="Arial" w:eastAsia="Arial" w:hAnsi="Arial"/>
          <w:sz w:val="18"/>
          <w:szCs w:val="18"/>
          <w:color w:val="000000"/>
        </w:rPr>
        <w:t>charges during either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42,967</w:t>
            </w:r>
          </w:p>
        </w:tc>
      </w:tr>
      <w:tr>
        <w:trPr>
          <w:trHeight w:val="230"/>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Adjustments to purchase price allocation</w:t>
            </w:r>
            <w:r>
              <w:rPr>
                <w:rFonts w:ascii="Arial" w:cs="Arial" w:eastAsia="Arial" w:hAnsi="Arial"/>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2022</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right="20" w:hanging="332"/>
        <w:spacing w:after="0" w:line="230" w:lineRule="auto"/>
        <w:tabs>
          <w:tab w:leader="none" w:pos="32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During the nine months ended September 30, 2022, we recorded measurement period purchase accounting adjustments related to certain of our 2021 acquisitions. See Note 4, “Acquisitions,”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leases land, buildings, equipment, and other capital assets which it uses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Right-of-use (“ROU”)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lease terms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 agreements generally do not contain any material residual value guarantees or material restrictive covenants. We may rent or sublease to third parties certain real property assets that we no longer use.</w:t>
      </w:r>
    </w:p>
    <w:p>
      <w:pPr>
        <w:spacing w:after="0" w:line="1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assets and lease liabilities and their classification on our unaudited Condensed Consolidated Balance Sheets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960" w:type="dxa"/>
            <w:vAlign w:val="bottom"/>
            <w:gridSpan w:val="2"/>
          </w:tcPr>
          <w:p>
            <w:pPr>
              <w:ind w:left="1420"/>
              <w:spacing w:after="0"/>
              <w:rPr>
                <w:sz w:val="20"/>
                <w:szCs w:val="20"/>
                <w:color w:val="auto"/>
              </w:rPr>
            </w:pPr>
            <w:r>
              <w:rPr>
                <w:rFonts w:ascii="Arial" w:cs="Arial" w:eastAsia="Arial" w:hAnsi="Arial"/>
                <w:sz w:val="18"/>
                <w:szCs w:val="18"/>
                <w:b w:val="1"/>
                <w:bCs w:val="1"/>
                <w:color w:val="auto"/>
              </w:rPr>
              <w:t>Classification</w:t>
            </w:r>
          </w:p>
        </w:tc>
        <w:tc>
          <w:tcPr>
            <w:tcW w:w="22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19"/>
                <w:szCs w:val="19"/>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 assets</w:t>
            </w:r>
          </w:p>
        </w:tc>
        <w:tc>
          <w:tcPr>
            <w:tcW w:w="3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109,085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103,958</w:t>
            </w: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 lease assets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110,041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2,665</w:t>
            </w:r>
          </w:p>
        </w:tc>
      </w:tr>
      <w:tr>
        <w:trPr>
          <w:trHeight w:val="230"/>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 net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197,295</w:t>
            </w:r>
          </w:p>
        </w:tc>
      </w:tr>
      <w:tr>
        <w:trPr>
          <w:trHeight w:val="230"/>
        </w:trPr>
        <w:tc>
          <w:tcPr>
            <w:tcW w:w="2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Finance leases</w:t>
            </w:r>
          </w:p>
        </w:tc>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components of lease costs and classification within the unaudited Condensed Consolidated Statements of Operations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45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5"/>
                <w:szCs w:val="15"/>
                <w:color w:val="auto"/>
              </w:rPr>
            </w:pPr>
          </w:p>
        </w:tc>
        <w:tc>
          <w:tcPr>
            <w:tcW w:w="122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99"/>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 costs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Capitalized to inventory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7,649</w:t>
            </w:r>
          </w:p>
        </w:tc>
        <w:tc>
          <w:tcPr>
            <w:tcW w:w="100" w:type="dxa"/>
            <w:vAlign w:val="bottom"/>
          </w:tcPr>
          <w:p>
            <w:pPr>
              <w:spacing w:after="0"/>
              <w:rPr>
                <w:sz w:val="23"/>
                <w:szCs w:val="23"/>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5,040</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21,485</w:t>
            </w:r>
          </w:p>
        </w:tc>
        <w:tc>
          <w:tcPr>
            <w:tcW w:w="100" w:type="dxa"/>
            <w:vAlign w:val="bottom"/>
          </w:tcPr>
          <w:p>
            <w:pPr>
              <w:spacing w:after="0"/>
              <w:rPr>
                <w:sz w:val="23"/>
                <w:szCs w:val="23"/>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14,154</w:t>
            </w:r>
          </w:p>
        </w:tc>
      </w:tr>
      <w:tr>
        <w:trPr>
          <w:trHeight w:val="270"/>
        </w:trPr>
        <w:tc>
          <w:tcPr>
            <w:tcW w:w="20" w:type="dxa"/>
            <w:vAlign w:val="bottom"/>
            <w:shd w:val="clear" w:color="auto" w:fill="CCEEFF"/>
          </w:tcPr>
          <w:p>
            <w:pPr>
              <w:spacing w:after="0"/>
              <w:rPr>
                <w:sz w:val="23"/>
                <w:szCs w:val="23"/>
                <w:color w:val="auto"/>
              </w:rPr>
            </w:pPr>
          </w:p>
        </w:tc>
        <w:tc>
          <w:tcPr>
            <w:tcW w:w="4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r>
      <w:tr>
        <w:trPr>
          <w:trHeight w:val="223"/>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operating lease costs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Finance lease costs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Amortization of leased assets</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560" w:type="dxa"/>
            <w:vAlign w:val="bottom"/>
            <w:gridSpan w:val="2"/>
          </w:tcPr>
          <w:p>
            <w:pPr>
              <w:ind w:left="220"/>
              <w:spacing w:after="0"/>
              <w:rPr>
                <w:sz w:val="20"/>
                <w:szCs w:val="20"/>
                <w:color w:val="auto"/>
              </w:rPr>
            </w:pPr>
            <w:r>
              <w:rPr>
                <w:rFonts w:ascii="Arial" w:cs="Arial" w:eastAsia="Arial" w:hAnsi="Arial"/>
                <w:sz w:val="18"/>
                <w:szCs w:val="18"/>
                <w:color w:val="auto"/>
              </w:rPr>
              <w:t>Interest on lease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5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finance lease costs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2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Included as a component of depreciation expense within “General and administrative expenses” on the accompanying unaudited Condensed Consolidated Statements of Operations.</w:t>
      </w:r>
    </w:p>
    <w:p>
      <w:pPr>
        <w:spacing w:after="0" w:line="14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At September 30, 2022 and December 31, 2021, $6,348 and $4,393, respectively, of lease costs remained capitalized in inventory. We recognized a gain of $145 during the nine months ended September 30, 2022 related to lease terminations, which is included in “General and administrative expenses” on the unaudited Condensed Consolidated Statement of Operations.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on short-term and variable lease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80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1"/>
              </w:rPr>
              <w:t>Nine Months Ended</w:t>
            </w:r>
          </w:p>
        </w:tc>
        <w:tc>
          <w:tcPr>
            <w:tcW w:w="5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5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04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50"/>
              <w:spacing w:after="0" w:line="156" w:lineRule="exact"/>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4"/>
                <w:szCs w:val="14"/>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short-term and variable lease costs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Sublease income generated during the three and nine months ended September 30, 2022 and 2021 was immaterial.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supplemental cash and non-cash information related to our leases: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792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5"/>
                <w:szCs w:val="15"/>
                <w:color w:val="auto"/>
              </w:rPr>
            </w:pPr>
          </w:p>
        </w:tc>
        <w:tc>
          <w:tcPr>
            <w:tcW w:w="12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99"/>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22,987</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16,310</w:t>
            </w: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assets obtained in exchange for new lease obligations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2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35,774</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41,498</w:t>
            </w:r>
          </w:p>
        </w:tc>
      </w:tr>
      <w:tr>
        <w:trPr>
          <w:trHeight w:val="230"/>
        </w:trPr>
        <w:tc>
          <w:tcPr>
            <w:tcW w:w="2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remaining lease term and discount rate: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380" w:type="dxa"/>
            <w:vAlign w:val="bottom"/>
            <w:gridSpan w:val="2"/>
          </w:tcPr>
          <w:p>
            <w:pPr>
              <w:ind w:left="400"/>
              <w:spacing w:after="0"/>
              <w:rPr>
                <w:sz w:val="20"/>
                <w:szCs w:val="20"/>
                <w:color w:val="auto"/>
              </w:rPr>
            </w:pPr>
            <w:r>
              <w:rPr>
                <w:rFonts w:ascii="Arial" w:cs="Arial" w:eastAsia="Arial" w:hAnsi="Arial"/>
                <w:sz w:val="18"/>
                <w:szCs w:val="18"/>
                <w:b w:val="1"/>
                <w:bCs w:val="1"/>
                <w:color w:val="auto"/>
              </w:rPr>
              <w:t>September 30, 2022</w:t>
            </w:r>
          </w:p>
        </w:tc>
        <w:tc>
          <w:tcPr>
            <w:tcW w:w="22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2021</w:t>
            </w:r>
          </w:p>
        </w:tc>
      </w:tr>
      <w:tr>
        <w:trPr>
          <w:trHeight w:val="20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term (years)</w:t>
            </w:r>
          </w:p>
        </w:tc>
        <w:tc>
          <w:tcPr>
            <w:tcW w:w="2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28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9"/>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280" w:type="dxa"/>
            <w:vAlign w:val="bottom"/>
          </w:tcPr>
          <w:p>
            <w:pPr>
              <w:jc w:val="right"/>
              <w:spacing w:after="0"/>
              <w:rPr>
                <w:sz w:val="20"/>
                <w:szCs w:val="20"/>
                <w:color w:val="auto"/>
              </w:rPr>
            </w:pPr>
            <w:r>
              <w:rPr>
                <w:rFonts w:ascii="Arial" w:cs="Arial" w:eastAsia="Arial" w:hAnsi="Arial"/>
                <w:sz w:val="18"/>
                <w:szCs w:val="18"/>
                <w:color w:val="auto"/>
              </w:rPr>
              <w:t>13.2 %</w:t>
            </w:r>
          </w:p>
        </w:tc>
        <w:tc>
          <w:tcPr>
            <w:tcW w:w="100" w:type="dxa"/>
            <w:vAlign w:val="bottom"/>
          </w:tcPr>
          <w:p>
            <w:pPr>
              <w:spacing w:after="0"/>
              <w:rPr>
                <w:sz w:val="20"/>
                <w:szCs w:val="20"/>
                <w:color w:val="auto"/>
              </w:rPr>
            </w:pP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amounts of future undiscounted cash flows related to the lease payments over the lease terms and the reconciliation to the present value of the lease liabilities as recorded on our unaudited Condensed Consolidated Balance Sheet as of September 30, 2022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Operating Lease Liabilities</w:t>
            </w:r>
          </w:p>
        </w:tc>
        <w:tc>
          <w:tcPr>
            <w:tcW w:w="12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Finance Lease 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33,837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9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9"/>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9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8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2022, we have entered into operating lease arrangements which are effective for future periods. The total amount of ROU lease assets and lease liabilities related to these arrangements is approximately $3,100.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2022, we amended the leases related to our Athol, Massachusetts and Lansing, Michigan cultivation facilities to increase the tenant improvement allowance for each, which resulted in increased rent amounts. We accounted for the amendments as lease modifications and remeasured each ROU asset and lease liability as of the amendment dates. The modifications resulted in a total additional tenant improvement allowance of $19,300, a reduction of $22,483 to total ROU assets, and a reduction of $3,183 to total lease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2022, the Company sold and subsequently leased back one of its capital assets in New Jersey for total proceeds of $35,400, excluding transaction costs. The transaction met the criteria for sale leaseback treatment. The lease was recorded as an operating lease and resulted in a lease liability of $33,707 and an ROU asset of $29,107, which was recorded net of a $4,600 tenant improvement allowance</w:t>
      </w:r>
      <w:r>
        <w:rPr>
          <w:rFonts w:ascii="Arial" w:cs="Arial" w:eastAsia="Arial" w:hAnsi="Arial"/>
          <w:sz w:val="17"/>
          <w:szCs w:val="17"/>
          <w:color w:val="FF0000"/>
        </w:rPr>
        <w:t>.</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2022, the Company sold and subsequently leased back two of its capital assets in Pennsylvania for total proceeds of $3,825, excluding transaction costs. Each transaction met the criteria for sale leaseback treatment. The leases were recorded as operating leases and resulted in a total lease liability and ROU asset of $2,102. Each of the lease agreements provide for a capital expenditure allowance of up to $3,000. The rent payments due under each lease will increase by a percentage of the capital expenditure allowance as funding occurs, and, therefore, each lease will be reassessed and remeasured as a modification upon such funding. During the three months ended September 30, 2022, we received a total of $3,215 under the capital expenditure allowance that was recorded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tenant improvement allowance and resulted in $1,663 of additional lease liabilities based on the modified lease terms and a net gain of $279 during the three and nine months ended September 30, 2022, which is included in “General and administrative expenses” on the unaudited Condensed Consolidated Statement of Operations.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unaudited Condensed Consolidated 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Remainder of</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160" w:type="dxa"/>
            <w:vAlign w:val="bottom"/>
          </w:tcPr>
          <w:p>
            <w:pPr>
              <w:jc w:val="right"/>
              <w:ind w:right="370"/>
              <w:spacing w:after="0" w:line="169"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2025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6"/>
                <w:szCs w:val="16"/>
                <w:color w:val="auto"/>
              </w:rPr>
            </w:pPr>
          </w:p>
        </w:tc>
        <w:tc>
          <w:tcPr>
            <w:tcW w:w="1340" w:type="dxa"/>
            <w:vAlign w:val="bottom"/>
            <w:gridSpan w:val="5"/>
          </w:tcPr>
          <w:p>
            <w:pPr>
              <w:ind w:left="200"/>
              <w:spacing w:after="0" w:line="169" w:lineRule="exact"/>
              <w:rPr>
                <w:sz w:val="20"/>
                <w:szCs w:val="20"/>
                <w:color w:val="auto"/>
              </w:rPr>
            </w:pPr>
            <w:r>
              <w:rPr>
                <w:rFonts w:ascii="Arial" w:cs="Arial" w:eastAsia="Arial" w:hAnsi="Arial"/>
                <w:sz w:val="18"/>
                <w:szCs w:val="18"/>
                <w:b w:val="1"/>
                <w:bCs w:val="1"/>
                <w:color w:val="auto"/>
              </w:rPr>
              <w:t>Thereafter</w:t>
            </w:r>
          </w:p>
        </w:tc>
        <w:tc>
          <w:tcPr>
            <w:tcW w:w="260" w:type="dxa"/>
            <w:vAlign w:val="bottom"/>
          </w:tcPr>
          <w:p>
            <w:pPr>
              <w:spacing w:after="0"/>
              <w:rPr>
                <w:sz w:val="16"/>
                <w:szCs w:val="16"/>
                <w:color w:val="auto"/>
              </w:rPr>
            </w:pPr>
          </w:p>
        </w:tc>
        <w:tc>
          <w:tcPr>
            <w:tcW w:w="960" w:type="dxa"/>
            <w:vAlign w:val="bottom"/>
          </w:tcPr>
          <w:p>
            <w:pPr>
              <w:jc w:val="right"/>
              <w:ind w:right="330"/>
              <w:spacing w:after="0" w:line="169" w:lineRule="exact"/>
              <w:rPr>
                <w:sz w:val="20"/>
                <w:szCs w:val="20"/>
                <w:color w:val="auto"/>
              </w:rPr>
            </w:pPr>
            <w:r>
              <w:rPr>
                <w:rFonts w:ascii="Arial" w:cs="Arial" w:eastAsia="Arial" w:hAnsi="Arial"/>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20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4"/>
              </w:rPr>
              <w:t>Cash payments due under</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6,811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16,298</w:t>
            </w:r>
          </w:p>
        </w:tc>
      </w:tr>
      <w:tr>
        <w:trPr>
          <w:trHeight w:val="473"/>
        </w:trPr>
        <w:tc>
          <w:tcPr>
            <w:tcW w:w="2040" w:type="dxa"/>
            <w:vAlign w:val="bottom"/>
            <w:gridSpan w:val="3"/>
          </w:tcPr>
          <w:p>
            <w:pPr>
              <w:spacing w:after="0"/>
              <w:rPr>
                <w:sz w:val="20"/>
                <w:szCs w:val="20"/>
                <w:color w:val="auto"/>
              </w:rPr>
            </w:pPr>
            <w:r>
              <w:rPr>
                <w:rFonts w:ascii="Arial" w:cs="Arial" w:eastAsia="Arial" w:hAnsi="Arial"/>
                <w:sz w:val="18"/>
                <w:szCs w:val="18"/>
                <w:b w:val="1"/>
                <w:bCs w:val="1"/>
                <w:color w:val="auto"/>
              </w:rPr>
              <w:t>11. DEBT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2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7"/>
          </w:tcPr>
          <w:p>
            <w:pPr>
              <w:ind w:left="34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4"/>
                <w:szCs w:val="24"/>
                <w:color w:val="auto"/>
              </w:rPr>
            </w:pPr>
          </w:p>
        </w:tc>
        <w:tc>
          <w:tcPr>
            <w:tcW w:w="1920" w:type="dxa"/>
            <w:vAlign w:val="bottom"/>
            <w:gridSpan w:val="4"/>
          </w:tcPr>
          <w:p>
            <w:pPr>
              <w:ind w:left="120"/>
              <w:spacing w:after="0"/>
              <w:rPr>
                <w:sz w:val="20"/>
                <w:szCs w:val="20"/>
                <w:color w:val="auto"/>
              </w:rPr>
            </w:pPr>
            <w:r>
              <w:rPr>
                <w:rFonts w:ascii="Arial" w:cs="Arial" w:eastAsia="Arial" w:hAnsi="Arial"/>
                <w:sz w:val="18"/>
                <w:szCs w:val="18"/>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spacing w:after="0" w:line="250" w:lineRule="exact"/>
              <w:rPr>
                <w:sz w:val="20"/>
                <w:szCs w:val="20"/>
                <w:color w:val="auto"/>
              </w:rPr>
            </w:pPr>
            <w:r>
              <w:rPr>
                <w:rFonts w:ascii="Arial" w:cs="Arial" w:eastAsia="Arial" w:hAnsi="Arial"/>
                <w:sz w:val="18"/>
                <w:szCs w:val="18"/>
                <w:color w:val="auto"/>
              </w:rPr>
              <w:t>2021 Credit Facility</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r>
      <w:tr>
        <w:trPr>
          <w:trHeight w:val="270"/>
        </w:trPr>
        <w:tc>
          <w:tcPr>
            <w:tcW w:w="20" w:type="dxa"/>
            <w:vAlign w:val="bottom"/>
          </w:tcPr>
          <w:p>
            <w:pPr>
              <w:spacing w:after="0"/>
              <w:rPr>
                <w:sz w:val="23"/>
                <w:szCs w:val="23"/>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(2)</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28,152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39,116</w:t>
            </w:r>
          </w:p>
        </w:tc>
      </w:tr>
      <w:tr>
        <w:trPr>
          <w:trHeight w:val="270"/>
        </w:trPr>
        <w:tc>
          <w:tcPr>
            <w:tcW w:w="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liabilities</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w:t>
            </w:r>
          </w:p>
        </w:tc>
      </w:tr>
      <w:tr>
        <w:trPr>
          <w:trHeight w:val="270"/>
        </w:trPr>
        <w:tc>
          <w:tcPr>
            <w:tcW w:w="20" w:type="dxa"/>
            <w:vAlign w:val="bottom"/>
            <w:tcBorders>
              <w:bottom w:val="single" w:sz="8" w:color="CCEEFF"/>
            </w:tcBorders>
          </w:tcPr>
          <w:p>
            <w:pPr>
              <w:spacing w:after="0"/>
              <w:rPr>
                <w:sz w:val="23"/>
                <w:szCs w:val="23"/>
                <w:color w:val="auto"/>
              </w:rPr>
            </w:pPr>
          </w:p>
        </w:tc>
        <w:tc>
          <w:tcPr>
            <w:tcW w:w="2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leases</w:t>
            </w:r>
            <w:r>
              <w:rPr>
                <w:rFonts w:ascii="Arial" w:cs="Arial" w:eastAsia="Arial" w:hAnsi="Arial"/>
                <w:sz w:val="23"/>
                <w:szCs w:val="23"/>
                <w:color w:val="auto"/>
                <w:vertAlign w:val="superscript"/>
              </w:rPr>
              <w:t>(4)</w:t>
            </w:r>
          </w:p>
        </w:tc>
        <w:tc>
          <w:tcPr>
            <w:tcW w:w="12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debt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321,762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266,866</w:t>
            </w:r>
          </w:p>
        </w:tc>
      </w:tr>
      <w:tr>
        <w:trPr>
          <w:trHeight w:val="236"/>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0"/>
        </w:trPr>
        <w:tc>
          <w:tcPr>
            <w:tcW w:w="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debt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19,492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27,980</w:t>
            </w:r>
          </w:p>
        </w:tc>
      </w:tr>
      <w:tr>
        <w:trPr>
          <w:trHeight w:val="270"/>
        </w:trPr>
        <w:tc>
          <w:tcPr>
            <w:tcW w:w="20" w:type="dxa"/>
            <w:vAlign w:val="bottom"/>
            <w:tcBorders>
              <w:bottom w:val="single" w:sz="8" w:color="CCEEFF"/>
            </w:tcBorders>
          </w:tcPr>
          <w:p>
            <w:pPr>
              <w:spacing w:after="0"/>
              <w:rPr>
                <w:sz w:val="23"/>
                <w:szCs w:val="23"/>
                <w:color w:val="auto"/>
              </w:rPr>
            </w:pPr>
          </w:p>
        </w:tc>
        <w:tc>
          <w:tcPr>
            <w:tcW w:w="33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w w:val="97"/>
              </w:rPr>
              <w:t>Less: unamortized deferred financing costs</w:t>
            </w:r>
          </w:p>
        </w:tc>
        <w:tc>
          <w:tcPr>
            <w:tcW w:w="2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Current portion of debt, net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302,270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238,886</w:t>
            </w:r>
          </w:p>
        </w:tc>
      </w:tr>
      <w:tr>
        <w:trPr>
          <w:trHeight w:val="270"/>
        </w:trPr>
        <w:tc>
          <w:tcPr>
            <w:tcW w:w="20" w:type="dxa"/>
            <w:vAlign w:val="bottom"/>
            <w:tcBorders>
              <w:bottom w:val="single" w:sz="8" w:color="CCEEFF"/>
            </w:tcBorders>
          </w:tcPr>
          <w:p>
            <w:pPr>
              <w:spacing w:after="0"/>
              <w:rPr>
                <w:sz w:val="23"/>
                <w:szCs w:val="23"/>
                <w:color w:val="auto"/>
              </w:rPr>
            </w:pPr>
          </w:p>
        </w:tc>
        <w:tc>
          <w:tcPr>
            <w:tcW w:w="33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w w:val="97"/>
              </w:rPr>
              <w:t>Less: unamortized deferred financing costs</w:t>
            </w:r>
          </w:p>
        </w:tc>
        <w:tc>
          <w:tcPr>
            <w:tcW w:w="280" w:type="dxa"/>
            <w:vAlign w:val="bottom"/>
            <w:tcBorders>
              <w:bottom w:val="single" w:sz="8" w:color="CCEEFF"/>
            </w:tcBorders>
          </w:tcPr>
          <w:p>
            <w:pPr>
              <w:spacing w:after="0"/>
              <w:rPr>
                <w:sz w:val="23"/>
                <w:szCs w:val="23"/>
                <w:color w:val="auto"/>
              </w:rPr>
            </w:pPr>
          </w:p>
        </w:tc>
        <w:tc>
          <w:tcPr>
            <w:tcW w:w="9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5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290,969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340" w:hanging="332"/>
        <w:spacing w:after="0" w:line="243" w:lineRule="auto"/>
        <w:tabs>
          <w:tab w:leader="none" w:pos="32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On August 27, 2021, the Company entered into a credit agreement with a group of lenders (the “2021 Credit Agreement”) that provided for an initial term loan of $210,000 (the “2021 Credit Facility”), which was borrowed in full. The 2021 Credit Agreement provided for an expansion feature that allowed the Company to request an increase in the 2021 Credit Facility up to $275,000 if the then-existing lenders (or other lenders) agreed to provide such additional term loans. During the second quarter of 2022, the Company borrowed an additional $65,000 pursuant to the expansion feature (the “2022 Loans”) for total borrowings of $275,000 under the 2021 Credit Facility.</w:t>
      </w:r>
    </w:p>
    <w:p>
      <w:pPr>
        <w:spacing w:after="0" w:line="90" w:lineRule="exact"/>
        <w:rPr>
          <w:rFonts w:ascii="Arial" w:cs="Arial" w:eastAsia="Arial" w:hAnsi="Arial"/>
          <w:sz w:val="21"/>
          <w:szCs w:val="21"/>
          <w:color w:val="auto"/>
          <w:vertAlign w:val="superscript"/>
        </w:rPr>
      </w:pPr>
    </w:p>
    <w:p>
      <w:pPr>
        <w:jc w:val="both"/>
        <w:ind w:left="340"/>
        <w:spacing w:after="0" w:line="269" w:lineRule="auto"/>
        <w:rPr>
          <w:rFonts w:ascii="Arial" w:cs="Arial" w:eastAsia="Arial" w:hAnsi="Arial"/>
          <w:sz w:val="21"/>
          <w:szCs w:val="21"/>
          <w:color w:val="auto"/>
          <w:vertAlign w:val="superscript"/>
        </w:rPr>
      </w:pPr>
      <w:r>
        <w:rPr>
          <w:rFonts w:ascii="Arial" w:cs="Arial" w:eastAsia="Arial" w:hAnsi="Arial"/>
          <w:sz w:val="16"/>
          <w:szCs w:val="16"/>
          <w:color w:val="auto"/>
        </w:rPr>
        <w:t>The 2021 Credit Facility matures on August 27, 2025 and does not require scheduled principal amortization payments. Borrowings under the 2021 Credit Facility bear interest at a rate of 9.5% per annum, payable quarterly and, as to any portion of the term loan that is prepaid, on the date of prepayment. The 2021 Credit Agreement permits the Company to request an extension of the maturity date for 364 days, subject to the lenders’ discretion.</w:t>
      </w:r>
    </w:p>
    <w:p>
      <w:pPr>
        <w:spacing w:after="0" w:line="69" w:lineRule="exact"/>
        <w:rPr>
          <w:rFonts w:ascii="Arial" w:cs="Arial" w:eastAsia="Arial" w:hAnsi="Arial"/>
          <w:sz w:val="21"/>
          <w:szCs w:val="21"/>
          <w:color w:val="auto"/>
          <w:vertAlign w:val="superscript"/>
        </w:rPr>
      </w:pPr>
    </w:p>
    <w:p>
      <w:pPr>
        <w:jc w:val="both"/>
        <w:ind w:left="340"/>
        <w:spacing w:after="0" w:line="280" w:lineRule="auto"/>
        <w:rPr>
          <w:rFonts w:ascii="Arial" w:cs="Arial" w:eastAsia="Arial" w:hAnsi="Arial"/>
          <w:sz w:val="21"/>
          <w:szCs w:val="21"/>
          <w:color w:val="auto"/>
          <w:vertAlign w:val="superscript"/>
        </w:rPr>
      </w:pPr>
      <w:r>
        <w:rPr>
          <w:rFonts w:ascii="Arial" w:cs="Arial" w:eastAsia="Arial" w:hAnsi="Arial"/>
          <w:sz w:val="15"/>
          <w:szCs w:val="15"/>
          <w:color w:val="auto"/>
        </w:rPr>
        <w:t>We incurred initial financing costs of $8,806 and additional financing costs of $7,606 related to the 2022 Loans, which includes warrants issued to certain lenders to acquire 3,130 shares of Class A common stock that had a fair value of $2,639 at issuance (refer to Note 12, “Stockholders’ Equity,” for additional information).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the nine months ended September 30, 2022, comprised of the write-off of $337 related to the lender’s initial term loan and $1,843 related to the lender’s new loan, which included the estimated fair value of the warrants issued to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ind w:left="340"/>
        <w:spacing w:after="0" w:line="325" w:lineRule="auto"/>
        <w:rPr>
          <w:sz w:val="20"/>
          <w:szCs w:val="20"/>
          <w:color w:val="auto"/>
        </w:rPr>
      </w:pPr>
      <w:r>
        <w:rPr>
          <w:rFonts w:ascii="Arial" w:cs="Arial" w:eastAsia="Arial" w:hAnsi="Arial"/>
          <w:sz w:val="14"/>
          <w:szCs w:val="14"/>
          <w:color w:val="auto"/>
        </w:rPr>
        <w:t>The 2021 Credit Agreement requires mandatory prepayments from proceeds of certain events, including the proceeds of indebtedness that is not permitted under the agreement and asset sales and casualty events, subject to customary reinvestment rights. The Company may prepay the 2021 Credit Facility at any time, subject to a customary make-whole payment or prepayment penalty, as applicable. Once repaid, amounts borrowed under the 2021 Credit Facility may not be re-borrowed.</w:t>
      </w:r>
    </w:p>
    <w:p>
      <w:pPr>
        <w:spacing w:after="0" w:line="34" w:lineRule="exact"/>
        <w:rPr>
          <w:sz w:val="20"/>
          <w:szCs w:val="20"/>
          <w:color w:val="auto"/>
        </w:rPr>
      </w:pPr>
    </w:p>
    <w:p>
      <w:pPr>
        <w:jc w:val="both"/>
        <w:ind w:left="340"/>
        <w:spacing w:after="0" w:line="262" w:lineRule="auto"/>
        <w:rPr>
          <w:sz w:val="20"/>
          <w:szCs w:val="20"/>
          <w:color w:val="auto"/>
        </w:rPr>
      </w:pPr>
      <w:r>
        <w:rPr>
          <w:rFonts w:ascii="Arial" w:cs="Arial" w:eastAsia="Arial" w:hAnsi="Arial"/>
          <w:sz w:val="16"/>
          <w:szCs w:val="16"/>
          <w:color w:val="auto"/>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September 30, 2022.</w:t>
      </w:r>
    </w:p>
    <w:p>
      <w:pPr>
        <w:spacing w:after="0" w:line="76" w:lineRule="exact"/>
        <w:rPr>
          <w:sz w:val="20"/>
          <w:szCs w:val="20"/>
          <w:color w:val="auto"/>
        </w:rPr>
      </w:pPr>
    </w:p>
    <w:p>
      <w:pPr>
        <w:jc w:val="both"/>
        <w:ind w:left="340"/>
        <w:spacing w:after="0" w:line="310" w:lineRule="auto"/>
        <w:rPr>
          <w:sz w:val="20"/>
          <w:szCs w:val="20"/>
          <w:color w:val="auto"/>
        </w:rPr>
      </w:pPr>
      <w:r>
        <w:rPr>
          <w:rFonts w:ascii="Arial" w:cs="Arial" w:eastAsia="Arial" w:hAnsi="Arial"/>
          <w:sz w:val="14"/>
          <w:szCs w:val="14"/>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59" w:lineRule="exact"/>
        <w:rPr>
          <w:sz w:val="20"/>
          <w:szCs w:val="20"/>
          <w:color w:val="auto"/>
        </w:rPr>
      </w:pPr>
    </w:p>
    <w:p>
      <w:pPr>
        <w:jc w:val="both"/>
        <w:ind w:left="340" w:hanging="332"/>
        <w:spacing w:after="0" w:line="262" w:lineRule="auto"/>
        <w:tabs>
          <w:tab w:leader="none" w:pos="328"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Sellers’ Notes consist of amounts owed for acquisitions or other purchases. During the nine months ended September 30, 2022, we repaid $24,839 to the former owners of two entities that we previously acquired, which is included in “Current portion of debt, net” on the unaudited Condensed Consolidated Balance Sheet at December 31, 2021. A total of $8,000, with an interest rate of 13% per annum, remains due to the former owners of one entity that we previously acquired and is included on the unaudited Condensed Consolidated Balance Sheets under the caption “Current portion of debt, net” at September 30, 2022 and Long-term debt, net” at December 31, 2021. Additionally, as further described in Note 4, “Acquisitions,” a total of $8,100 of sellers’ notes related to the acquisition of two additional licenses in Illinois is included in “Current portion of debt, net” at September 30, 2022 and $8,060 related to the OPA acquisition is included in Long-term debt, net at September 30, 2022. The $11,000 OPA sellers’ note was recorded net of a discount of $3,010 that was calculated utilizing the Company’s estimated incremental borrowing rate based on the anticipated close date. This discount will be accreted to interest expense over the expected term.</w:t>
      </w:r>
    </w:p>
    <w:p>
      <w:pPr>
        <w:spacing w:after="0" w:line="91" w:lineRule="exact"/>
        <w:rPr>
          <w:rFonts w:ascii="Arial" w:cs="Arial" w:eastAsia="Arial" w:hAnsi="Arial"/>
          <w:sz w:val="20"/>
          <w:szCs w:val="20"/>
          <w:color w:val="auto"/>
          <w:vertAlign w:val="superscript"/>
        </w:rPr>
      </w:pPr>
    </w:p>
    <w:p>
      <w:pPr>
        <w:jc w:val="both"/>
        <w:ind w:left="340"/>
        <w:spacing w:after="0" w:line="269" w:lineRule="auto"/>
        <w:rPr>
          <w:rFonts w:ascii="Arial" w:cs="Arial" w:eastAsia="Arial" w:hAnsi="Arial"/>
          <w:sz w:val="20"/>
          <w:szCs w:val="20"/>
          <w:color w:val="auto"/>
          <w:vertAlign w:val="superscript"/>
        </w:rPr>
      </w:pPr>
      <w:r>
        <w:rPr>
          <w:rFonts w:ascii="Arial" w:cs="Arial" w:eastAsia="Arial" w:hAnsi="Arial"/>
          <w:sz w:val="16"/>
          <w:szCs w:val="16"/>
          <w:color w:val="auto"/>
        </w:rPr>
        <w:t>Additionally, at September 30, 2022, $3,992 remains due under the purchase of a previous non-controlling interest, of which $3,208 and $784 is included in “Current portion of debt, net” and “Long-term debt, net” respectively on the unaudited Condensed Consolidated Balance Sheet. At December 31, 2021, $3,140 and $3,136 is included in “Current portion of debt, net” and “Long-term debt, net” respectively.</w:t>
      </w:r>
    </w:p>
    <w:p>
      <w:pPr>
        <w:spacing w:after="0" w:line="34" w:lineRule="exact"/>
        <w:rPr>
          <w:rFonts w:ascii="Arial" w:cs="Arial" w:eastAsia="Arial" w:hAnsi="Arial"/>
          <w:sz w:val="20"/>
          <w:szCs w:val="20"/>
          <w:color w:val="auto"/>
          <w:vertAlign w:val="superscript"/>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Finance liabilities related to failed sale leaseback transactions. See Note 10, “Leases,” for additional information.</w:t>
      </w:r>
    </w:p>
    <w:p>
      <w:pPr>
        <w:spacing w:after="0" w:line="68" w:lineRule="exact"/>
        <w:rPr>
          <w:rFonts w:ascii="Arial" w:cs="Arial" w:eastAsia="Arial" w:hAnsi="Arial"/>
          <w:sz w:val="21"/>
          <w:szCs w:val="21"/>
          <w:color w:val="auto"/>
          <w:vertAlign w:val="superscript"/>
        </w:rPr>
      </w:pPr>
    </w:p>
    <w:p>
      <w:pPr>
        <w:ind w:left="320" w:hanging="312"/>
        <w:spacing w:after="0" w:line="226" w:lineRule="auto"/>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Liabilities related to finance leases. See Note 10, “Leases,”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nine months ended September 30, 2022, we repaid $24,839 of sellers’ notes related to two previous acquisitions and $2,289 of sellers’ notes related to the former owners of a previous non-controlling interest.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2022, the following cash payments are required under our debt arrangements: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Remainder of</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22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390"/>
              <w:spacing w:after="0" w:line="169" w:lineRule="exact"/>
              <w:rPr>
                <w:sz w:val="20"/>
                <w:szCs w:val="20"/>
                <w:color w:val="auto"/>
              </w:rPr>
            </w:pPr>
            <w:r>
              <w:rPr>
                <w:rFonts w:ascii="Arial" w:cs="Arial" w:eastAsia="Arial" w:hAnsi="Arial"/>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w:t>
            </w:r>
          </w:p>
        </w:tc>
      </w:tr>
      <w:tr>
        <w:trPr>
          <w:trHeight w:val="230"/>
        </w:trPr>
        <w:tc>
          <w:tcPr>
            <w:tcW w:w="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Term note maturities</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275,000</w:t>
            </w:r>
          </w:p>
        </w:tc>
      </w:tr>
    </w:tbl>
    <w:p>
      <w:pPr>
        <w:spacing w:after="0" w:line="17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Certain cash payments include an interest accretion component. The timing of certain payments may vary based on regulatory approval of the underlying transactions.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89"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8920" w:type="dxa"/>
            <w:vAlign w:val="bottom"/>
            <w:gridSpan w:val="9"/>
          </w:tcPr>
          <w:p>
            <w:pPr>
              <w:ind w:left="640"/>
              <w:spacing w:after="0"/>
              <w:rPr>
                <w:sz w:val="20"/>
                <w:szCs w:val="20"/>
                <w:color w:val="auto"/>
              </w:rPr>
            </w:pPr>
            <w:r>
              <w:rPr>
                <w:rFonts w:ascii="Arial" w:cs="Arial" w:eastAsia="Arial" w:hAnsi="Arial"/>
                <w:sz w:val="18"/>
                <w:szCs w:val="18"/>
                <w:color w:val="auto"/>
                <w:w w:val="90"/>
              </w:rPr>
              <w:t>Interest expense during the three and nine months ended September 30, 2022 and 2021 consisted of the following:</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26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600" w:type="dxa"/>
            <w:vAlign w:val="bottom"/>
          </w:tcPr>
          <w:p>
            <w:pPr>
              <w:spacing w:after="0"/>
              <w:rPr>
                <w:sz w:val="22"/>
                <w:szCs w:val="22"/>
                <w:color w:val="auto"/>
              </w:rPr>
            </w:pP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2"/>
              </w:rPr>
              <w:t>September 30,</w:t>
            </w: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5"/>
              </w:rPr>
              <w:t>September 30,</w:t>
            </w:r>
          </w:p>
        </w:tc>
        <w:tc>
          <w:tcPr>
            <w:tcW w:w="60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45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02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5"/>
                <w:szCs w:val="15"/>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interest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17,677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11,948</w:t>
            </w: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9,148</w:t>
            </w: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r>
      <w:tr>
        <w:trPr>
          <w:trHeight w:val="229"/>
        </w:trPr>
        <w:tc>
          <w:tcPr>
            <w:tcW w:w="20" w:type="dxa"/>
            <w:vAlign w:val="bottom"/>
          </w:tcPr>
          <w:p>
            <w:pPr>
              <w:spacing w:after="0"/>
              <w:rPr>
                <w:sz w:val="19"/>
                <w:szCs w:val="19"/>
                <w:color w:val="auto"/>
              </w:rPr>
            </w:pPr>
          </w:p>
        </w:tc>
        <w:tc>
          <w:tcPr>
            <w:tcW w:w="4560" w:type="dxa"/>
            <w:vAlign w:val="bottom"/>
            <w:gridSpan w:val="2"/>
          </w:tcPr>
          <w:p>
            <w:pPr>
              <w:spacing w:after="0" w:line="230" w:lineRule="exact"/>
              <w:rPr>
                <w:sz w:val="20"/>
                <w:szCs w:val="20"/>
                <w:color w:val="auto"/>
              </w:rPr>
            </w:pPr>
            <w:r>
              <w:rPr>
                <w:rFonts w:ascii="Arial" w:cs="Arial" w:eastAsia="Arial" w:hAnsi="Arial"/>
                <w:sz w:val="18"/>
                <w:szCs w:val="18"/>
                <w:color w:val="auto"/>
              </w:rPr>
              <w:t>Interest on financing liability</w:t>
            </w:r>
            <w:r>
              <w:rPr>
                <w:rFonts w:ascii="Arial" w:cs="Arial" w:eastAsia="Arial" w:hAnsi="Arial"/>
                <w:sz w:val="23"/>
                <w:szCs w:val="23"/>
                <w:color w:val="auto"/>
                <w:vertAlign w:val="superscript"/>
              </w:rPr>
              <w:t>(2)</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finance leases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560" w:type="dxa"/>
            <w:vAlign w:val="bottom"/>
            <w:gridSpan w:val="2"/>
          </w:tcPr>
          <w:p>
            <w:pPr>
              <w:spacing w:after="0" w:line="230" w:lineRule="exact"/>
              <w:rPr>
                <w:sz w:val="20"/>
                <w:szCs w:val="20"/>
                <w:color w:val="auto"/>
              </w:rPr>
            </w:pPr>
            <w:r>
              <w:rPr>
                <w:rFonts w:ascii="Arial" w:cs="Arial" w:eastAsia="Arial" w:hAnsi="Arial"/>
                <w:sz w:val="18"/>
                <w:szCs w:val="18"/>
                <w:color w:val="auto"/>
                <w:w w:val="95"/>
              </w:rPr>
              <w:t>Non-cash interest related to beneficial conversion feature</w:t>
            </w:r>
            <w:r>
              <w:rPr>
                <w:rFonts w:ascii="Arial" w:cs="Arial" w:eastAsia="Arial" w:hAnsi="Arial"/>
                <w:sz w:val="23"/>
                <w:szCs w:val="23"/>
                <w:color w:val="auto"/>
                <w:w w:val="95"/>
                <w:vertAlign w:val="superscript"/>
              </w:rPr>
              <w:t>(3)</w:t>
            </w:r>
          </w:p>
        </w:tc>
        <w:tc>
          <w:tcPr>
            <w:tcW w:w="10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27,361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12,376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56,601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23"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amounts recorded for the 2021 periods include $1,656 of pre-payment fees and additional cash interest payments and $4,981 of non-cash components, including the write-off of unamortized deferred financing costs.</w:t>
      </w:r>
    </w:p>
    <w:p>
      <w:pPr>
        <w:spacing w:after="0" w:line="5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Interest on financing liability related to failed sale leaseback transactions. See Note 10, “Leases,” for additional details.</w:t>
      </w:r>
    </w:p>
    <w:p>
      <w:pPr>
        <w:spacing w:after="0" w:line="69"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See Note 12, “Stockholders’ Equity,” for additional details.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 vote of the holders of a majority of the outstanding shares of Class A common stock and Class B common stock, each voting separately as a class.</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prior to the Conversion, the Company was authorized to issue Common Units, Preferred Units, and Restricted Common Units (see Note 13, “Equity-Based Compensation Expense”), all with no par value. Preferred Units collectively included Series Seed Preferred Units, Series Seed+ Preferred Units, and Real Estate Preferred Units, unless otherwise specified. These share classes are included within “Additional Paid-In Capital” in the unaudited Condensed Consolidated Statements of Changes in Stockholders’ Equity on an as-converted to historical common units basis. In conjunction with the Conversion, each historical common unit then-outstanding converted into one share of Class A common stock, except 65 units that were allocated to shares of Class B common stock.</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4, 2021, the Company completed an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conjunction with the IPO, each Real Estate Preferred Unit converted into Class A common stock at a rate of one plus 1.5x, divided by the IPO price of $8.00 per share, for a total of 26,221 shares of Class A common stock. The additional 3,420 shares issued per the conversion feature was considered a contingent beneficial conversion feature and was recognized when the conversion event occurred and the contingency was resolved, for a total non-cash interest charge of $27,361. Each Series Seed Preferred Unit and Series Seed+ Preferred Unit converted into shares of Class A common stock on a one-for-one basis. Additionally, the then-outstanding convertible promissory notes, plus accrued interest, converted into a total of 37,388 shares of Class A common stock.</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total shares of Class A common stock and Class B common stock outstanding as of September 30,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60" w:type="dxa"/>
            <w:vAlign w:val="bottom"/>
            <w:gridSpan w:val="2"/>
          </w:tcPr>
          <w:p>
            <w:pPr>
              <w:ind w:left="340"/>
              <w:spacing w:after="0"/>
              <w:rPr>
                <w:sz w:val="20"/>
                <w:szCs w:val="20"/>
                <w:color w:val="auto"/>
              </w:rPr>
            </w:pPr>
            <w:r>
              <w:rPr>
                <w:rFonts w:ascii="Arial" w:cs="Arial" w:eastAsia="Arial" w:hAnsi="Arial"/>
                <w:sz w:val="18"/>
                <w:szCs w:val="18"/>
                <w:b w:val="1"/>
                <w:bCs w:val="1"/>
                <w:color w:val="auto"/>
              </w:rPr>
              <w:t>September 30, 2022</w:t>
            </w: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Class A common stock</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187,904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171,521</w:t>
            </w:r>
          </w:p>
        </w:tc>
      </w:tr>
      <w:tr>
        <w:trPr>
          <w:trHeight w:val="230"/>
        </w:trPr>
        <w:tc>
          <w:tcPr>
            <w:tcW w:w="20" w:type="dxa"/>
            <w:vAlign w:val="bottom"/>
            <w:tcBorders>
              <w:bottom w:val="single" w:sz="8" w:color="CCEEFF"/>
            </w:tcBorders>
          </w:tcPr>
          <w:p>
            <w:pPr>
              <w:spacing w:after="0"/>
              <w:rPr>
                <w:sz w:val="19"/>
                <w:szCs w:val="19"/>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Shares of Class B common stock</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187,969</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warrants activity during the nine months ended September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8"/>
                <w:szCs w:val="18"/>
                <w:color w:val="auto"/>
              </w:rPr>
            </w:pPr>
          </w:p>
        </w:tc>
        <w:tc>
          <w:tcPr>
            <w:tcW w:w="170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Weighted-Average</w:t>
            </w:r>
          </w:p>
        </w:tc>
        <w:tc>
          <w:tcPr>
            <w:tcW w:w="19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Remaining Exercise</w:t>
            </w:r>
          </w:p>
        </w:tc>
        <w:tc>
          <w:tcPr>
            <w:tcW w:w="14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spacing w:after="0"/>
              <w:rPr>
                <w:sz w:val="16"/>
                <w:szCs w:val="16"/>
                <w:color w:val="auto"/>
              </w:rPr>
            </w:pPr>
          </w:p>
        </w:tc>
        <w:tc>
          <w:tcPr>
            <w:tcW w:w="1840" w:type="dxa"/>
            <w:vAlign w:val="bottom"/>
          </w:tcPr>
          <w:p>
            <w:pPr>
              <w:jc w:val="right"/>
              <w:ind w:right="12"/>
              <w:spacing w:after="0" w:line="189" w:lineRule="exact"/>
              <w:rPr>
                <w:sz w:val="20"/>
                <w:szCs w:val="20"/>
                <w:color w:val="auto"/>
              </w:rPr>
            </w:pPr>
            <w:r>
              <w:rPr>
                <w:rFonts w:ascii="Arial" w:cs="Arial" w:eastAsia="Arial" w:hAnsi="Arial"/>
                <w:sz w:val="18"/>
                <w:szCs w:val="18"/>
                <w:b w:val="1"/>
                <w:bCs w:val="1"/>
                <w:color w:val="auto"/>
                <w:w w:val="99"/>
              </w:rPr>
              <w:t>Number of Warrants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9"/>
              </w:rPr>
              <w:t>Period</w:t>
            </w:r>
          </w:p>
        </w:tc>
        <w:tc>
          <w:tcPr>
            <w:tcW w:w="140" w:type="dxa"/>
            <w:vAlign w:val="bottom"/>
          </w:tcPr>
          <w:p>
            <w:pPr>
              <w:spacing w:after="0"/>
              <w:rPr>
                <w:sz w:val="16"/>
                <w:szCs w:val="16"/>
                <w:color w:val="auto"/>
              </w:rPr>
            </w:pPr>
          </w:p>
        </w:tc>
        <w:tc>
          <w:tcPr>
            <w:tcW w:w="1700" w:type="dxa"/>
            <w:vAlign w:val="bottom"/>
          </w:tcPr>
          <w:p>
            <w:pPr>
              <w:jc w:val="center"/>
              <w:ind w:right="52"/>
              <w:spacing w:after="0" w:line="189"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840" w:type="dxa"/>
            <w:vAlign w:val="bottom"/>
          </w:tcPr>
          <w:p>
            <w:pPr>
              <w:jc w:val="right"/>
              <w:ind w:right="352"/>
              <w:spacing w:after="0"/>
              <w:rPr>
                <w:sz w:val="20"/>
                <w:szCs w:val="20"/>
                <w:color w:val="auto"/>
              </w:rPr>
            </w:pPr>
            <w:r>
              <w:rPr>
                <w:rFonts w:ascii="Arial" w:cs="Arial" w:eastAsia="Arial" w:hAnsi="Arial"/>
                <w:sz w:val="16"/>
                <w:szCs w:val="16"/>
                <w:b w:val="1"/>
                <w:bCs w:val="1"/>
                <w:i w:val="1"/>
                <w:i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 Price</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87"/>
              </w:rPr>
              <w:t>(years)</w:t>
            </w:r>
          </w:p>
        </w:tc>
        <w:tc>
          <w:tcPr>
            <w:tcW w:w="140" w:type="dxa"/>
            <w:vAlign w:val="bottom"/>
          </w:tcPr>
          <w:p>
            <w:pPr>
              <w:spacing w:after="0"/>
              <w:rPr>
                <w:sz w:val="18"/>
                <w:szCs w:val="18"/>
                <w:color w:val="auto"/>
              </w:rPr>
            </w:pPr>
          </w:p>
        </w:tc>
        <w:tc>
          <w:tcPr>
            <w:tcW w:w="1700" w:type="dxa"/>
            <w:vAlign w:val="bottom"/>
          </w:tcPr>
          <w:p>
            <w:pPr>
              <w:jc w:val="center"/>
              <w:ind w:right="52"/>
              <w:spacing w:after="0" w:line="216" w:lineRule="exact"/>
              <w:rPr>
                <w:sz w:val="20"/>
                <w:szCs w:val="20"/>
                <w:color w:val="auto"/>
              </w:rPr>
            </w:pPr>
            <w:r>
              <w:rPr>
                <w:rFonts w:ascii="Arial" w:cs="Arial" w:eastAsia="Arial" w:hAnsi="Arial"/>
                <w:sz w:val="16"/>
                <w:szCs w:val="16"/>
                <w:b w:val="1"/>
                <w:bCs w:val="1"/>
                <w:i w:val="1"/>
                <w:iCs w:val="1"/>
                <w:color w:val="auto"/>
                <w:w w:val="84"/>
              </w:rPr>
              <w:t>(in thousands)</w:t>
            </w:r>
            <w:r>
              <w:rPr>
                <w:rFonts w:ascii="Arial" w:cs="Arial" w:eastAsia="Arial" w:hAnsi="Arial"/>
                <w:sz w:val="21"/>
                <w:szCs w:val="21"/>
                <w:b w:val="1"/>
                <w:bCs w:val="1"/>
                <w:color w:val="auto"/>
                <w:w w:val="84"/>
                <w:vertAlign w:val="superscript"/>
              </w:rPr>
              <w:t>(1)</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Outstanding, December 31, 2021</w:t>
            </w:r>
            <w:r>
              <w:rPr>
                <w:rFonts w:ascii="Arial" w:cs="Arial" w:eastAsia="Arial" w:hAnsi="Arial"/>
                <w:sz w:val="21"/>
                <w:szCs w:val="21"/>
                <w:color w:val="auto"/>
                <w:vertAlign w:val="superscript"/>
              </w:rPr>
              <w:t>(2)</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(3)</w:t>
            </w:r>
          </w:p>
        </w:tc>
        <w:tc>
          <w:tcPr>
            <w:tcW w:w="184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Outstanding, September 30, 2022</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Based on the amount by which the closing market price of our Class A common stock exceeds the exercise price on each date indicated.</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35"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ind w:left="340" w:hanging="332"/>
        <w:spacing w:after="0" w:line="288" w:lineRule="auto"/>
        <w:tabs>
          <w:tab w:leader="none" w:pos="328"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 conjunction with the Conversion, the holders of warrants to acquire 3,531 common units at an exercise price of $4.00 received warrants to acquire an equal number of shares of Class A common stock (the “Historical Warrants”). The Historical Warrants are equity-classified instruments, are subject to customary anti-dilution adjustments, are stand-alone instruments, and are not part of the terms of the notes with which they were originally issued (as applicable). The Historical Warrants had an estimated total fair value of $237 at issuance, which was calculated using a Black-Scholes model. The fair value per Historical Warrant ranged from $0.02 to $0.10 and significant assumptions used in the calculation included volatility ranging from 69.2% to 108.4% and risk-free rates ranging from 0.17% to 2.17%.</w:t>
      </w:r>
    </w:p>
    <w:p>
      <w:pPr>
        <w:spacing w:after="0" w:line="58" w:lineRule="exact"/>
        <w:rPr>
          <w:rFonts w:ascii="Arial" w:cs="Arial" w:eastAsia="Arial" w:hAnsi="Arial"/>
          <w:sz w:val="18"/>
          <w:szCs w:val="18"/>
          <w:color w:val="auto"/>
          <w:vertAlign w:val="superscript"/>
        </w:rPr>
      </w:pPr>
    </w:p>
    <w:p>
      <w:pPr>
        <w:jc w:val="both"/>
        <w:ind w:left="340" w:hanging="332"/>
        <w:spacing w:after="0" w:line="265" w:lineRule="auto"/>
        <w:tabs>
          <w:tab w:leader="none" w:pos="328"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In June 2022, in connection with the 2022 Loans (refer to Note 11, “Debt”), the Company issued warrants to purchase up to 3,130 shares of Class A common stock (the “2022 Warrants”). Each warrant is exercisable for one share of Class A common stock at an exercise price of $3.10 per share. The 2022 Warrants are immediately exercisable and have a four year term. The 2022 Warrants had a total estimated fair value of $2,639 at issuance, which was calculated using a Black-Scholes model. The fair value per 2022 Warrant was $0.84 and significant assumptions used in the calculation included volatility of 70% and a risk-free rate of 3.0%. Cashless exercise is permitted only if there is no effective registration statement registering the resale of the shares issued upon exercise. The Company will have the option to require the holders to exercise the 2022 Warrants if, after the first anniversary of the issuance, the 30-day volume-weighted average price of the Company’s Class A common stock exceeds $6.50 per share. The 2022 Warrants are equity-classified instruments, are subject to customary anti-dilution adjustments, are stand-alone instruments, and are not part of the notes with which they were issued.</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warrants were exercised during the three and nine months ended September 30, 2022.</w:t>
      </w:r>
    </w:p>
    <w:p>
      <w:pPr>
        <w:spacing w:after="0" w:line="167" w:lineRule="exact"/>
        <w:rPr>
          <w:sz w:val="20"/>
          <w:szCs w:val="20"/>
          <w:color w:val="auto"/>
        </w:rPr>
      </w:pPr>
    </w:p>
    <w:p>
      <w:pPr>
        <w:ind w:right="7220" w:firstLine="8"/>
        <w:spacing w:after="0" w:line="440" w:lineRule="auto"/>
        <w:tabs>
          <w:tab w:leader="none" w:pos="27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EXPENSE Equity Incentive Plans</w:t>
      </w:r>
    </w:p>
    <w:p>
      <w:pPr>
        <w:spacing w:after="0" w:line="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had been issued under the plan as of September 30, 2022. The Awards generally vest over two or three years. The estimated fair value of the Awards at issuance is recognized as compensation expense over the related vesting period.</w:t>
      </w:r>
    </w:p>
    <w:p>
      <w:pPr>
        <w:spacing w:after="0" w:line="1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conjunction with the Conversion, the holders of the restricted common units issued under the 2020 Plan received one restricted share of Class A common stock (a “Restricted Common Share”) for each restricted common unit held immediately prior to the Conversion.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restricted common shares activity during the nine months ended September 30, 2022:</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3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Common Shares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December 31, 2021</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30"/>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Vested</w:t>
            </w:r>
          </w:p>
        </w:tc>
        <w:tc>
          <w:tcPr>
            <w:tcW w:w="230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29"/>
        </w:trPr>
        <w:tc>
          <w:tcPr>
            <w:tcW w:w="20" w:type="dxa"/>
            <w:vAlign w:val="bottom"/>
            <w:shd w:val="clear" w:color="auto" w:fill="CCEEFF"/>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Unvested, September 30, 2022</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r>
    </w:tbl>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2022, total unrecognized compensation cost related to the restricted common shares was $114, which is expected to be recognized over a weighted-average remaining period of 0.6 years.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options, stock appreciation rights (“SAR Awards”), restricted stock awards (“RSAs”), restricted stock units (“RSUs”), and other stock-based awards (collectively the “2021 Plan Awards”). Any 2021 Plan Awards that expire or are forfeited may be re-issued. The estimated fair value of the 2021 Plan Awards at issuance is recognized as compensation expense over the related vesting, exercise, or service periods, as applicable. As of September 30, 2022, there were 5,896 shares of Class A common stock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grant for future equity-based compensation awards under the 2021 Plan. Activity related to awards issued under the 2021 Plan is further described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no SAR Awards and no RSAs have been granted under the 2021 Plan.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4"/>
          </w:tcPr>
          <w:p>
            <w:pPr>
              <w:ind w:left="1020"/>
              <w:spacing w:after="0"/>
              <w:rPr>
                <w:sz w:val="20"/>
                <w:szCs w:val="20"/>
                <w:color w:val="auto"/>
              </w:rPr>
            </w:pPr>
            <w:r>
              <w:rPr>
                <w:rFonts w:ascii="Arial" w:cs="Arial" w:eastAsia="Arial" w:hAnsi="Arial"/>
                <w:sz w:val="18"/>
                <w:szCs w:val="18"/>
                <w:b w:val="1"/>
                <w:bCs w:val="1"/>
                <w:color w:val="auto"/>
              </w:rPr>
              <w:t>Options Outstanding</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Weighted-Average</w:t>
            </w:r>
          </w:p>
        </w:tc>
        <w:tc>
          <w:tcPr>
            <w:tcW w:w="2200" w:type="dxa"/>
            <w:vAlign w:val="bottom"/>
            <w:gridSpan w:val="2"/>
          </w:tcPr>
          <w:p>
            <w:pPr>
              <w:jc w:val="center"/>
              <w:ind w:right="100"/>
              <w:spacing w:after="0" w:line="184" w:lineRule="exact"/>
              <w:rPr>
                <w:sz w:val="20"/>
                <w:szCs w:val="20"/>
                <w:color w:val="auto"/>
              </w:rPr>
            </w:pPr>
            <w:r>
              <w:rPr>
                <w:rFonts w:ascii="Arial" w:cs="Arial" w:eastAsia="Arial" w:hAnsi="Arial"/>
                <w:sz w:val="18"/>
                <w:szCs w:val="18"/>
                <w:b w:val="1"/>
                <w:bCs w:val="1"/>
                <w:color w:val="auto"/>
                <w:w w:val="92"/>
              </w:rPr>
              <w:t>Remaining Contractual</w:t>
            </w:r>
          </w:p>
        </w:tc>
        <w:tc>
          <w:tcPr>
            <w:tcW w:w="16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6"/>
              </w:rPr>
              <w:t>Number of 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0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93"/>
              </w:rPr>
              <w:t>Life</w:t>
            </w: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 except per share amounts)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ind w:right="200"/>
              <w:spacing w:after="0" w:line="156" w:lineRule="exact"/>
              <w:rPr>
                <w:sz w:val="20"/>
                <w:szCs w:val="20"/>
                <w:color w:val="auto"/>
              </w:rPr>
            </w:pPr>
            <w:r>
              <w:rPr>
                <w:rFonts w:ascii="Arial" w:cs="Arial" w:eastAsia="Arial" w:hAnsi="Arial"/>
                <w:sz w:val="18"/>
                <w:szCs w:val="18"/>
                <w:b w:val="1"/>
                <w:bCs w:val="1"/>
                <w:color w:val="auto"/>
                <w:w w:val="89"/>
              </w:rPr>
              <w:t>Exercise Price</w:t>
            </w:r>
          </w:p>
        </w:tc>
        <w:tc>
          <w:tcPr>
            <w:tcW w:w="2200" w:type="dxa"/>
            <w:vAlign w:val="bottom"/>
            <w:gridSpan w:val="2"/>
          </w:tcPr>
          <w:p>
            <w:pPr>
              <w:jc w:val="center"/>
              <w:ind w:right="100"/>
              <w:spacing w:after="0" w:line="156" w:lineRule="exact"/>
              <w:rPr>
                <w:sz w:val="20"/>
                <w:szCs w:val="20"/>
                <w:color w:val="auto"/>
              </w:rPr>
            </w:pPr>
            <w:r>
              <w:rPr>
                <w:rFonts w:ascii="Arial" w:cs="Arial" w:eastAsia="Arial" w:hAnsi="Arial"/>
                <w:sz w:val="18"/>
                <w:szCs w:val="18"/>
                <w:b w:val="1"/>
                <w:bCs w:val="1"/>
                <w:i w:val="1"/>
                <w:iCs w:val="1"/>
                <w:color w:val="auto"/>
                <w:w w:val="84"/>
              </w:rPr>
              <w:t>(years)</w:t>
            </w:r>
          </w:p>
        </w:tc>
        <w:tc>
          <w:tcPr>
            <w:tcW w:w="320" w:type="dxa"/>
            <w:vAlign w:val="bottom"/>
          </w:tcPr>
          <w:p>
            <w:pPr>
              <w:spacing w:after="0"/>
              <w:rPr>
                <w:sz w:val="15"/>
                <w:szCs w:val="15"/>
                <w:color w:val="auto"/>
              </w:rPr>
            </w:pPr>
          </w:p>
        </w:tc>
        <w:tc>
          <w:tcPr>
            <w:tcW w:w="1360" w:type="dxa"/>
            <w:vAlign w:val="bottom"/>
          </w:tcPr>
          <w:p>
            <w:pPr>
              <w:jc w:val="center"/>
              <w:ind w:right="236"/>
              <w:spacing w:after="0" w:line="156"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center"/>
              <w:ind w:left="16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2,374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Outstanding, September 30, 2022</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Based on the amount by which the closing market price of our Class A common stock exceeds the exercise price on each date indicated.</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options were exercised during the nine months ended September 30, 2022 and no options are exercisable as of September 30, 2022. Total unrecognized stock-based compensation expense related to unvested options was $3,081 as of September 30, 2022, which is expected to be recognized over a weighted-average remaining period of 3.6 years.</w:t>
      </w:r>
    </w:p>
    <w:p>
      <w:pPr>
        <w:spacing w:after="0" w:line="13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determine the fair value of stock options on the grant date using a Black-Scholes option pricing model. The fair value of stock options granted during the nine months ended September 30, 2022 was calculated on the date of grant using the following weighted-average assumptions: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tcPr>
          <w:p>
            <w:pPr>
              <w:spacing w:after="0"/>
              <w:rPr>
                <w:sz w:val="18"/>
                <w:szCs w:val="18"/>
                <w:color w:val="auto"/>
              </w:rPr>
            </w:pP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8760" w:type="dxa"/>
            <w:vAlign w:val="bottom"/>
            <w:tcBorders>
              <w:bottom w:val="single" w:sz="8" w:color="CCEEFF"/>
            </w:tcBorders>
          </w:tcPr>
          <w:p>
            <w:pPr>
              <w:spacing w:after="0"/>
              <w:rPr>
                <w:sz w:val="20"/>
                <w:szCs w:val="20"/>
                <w:color w:val="auto"/>
              </w:rPr>
            </w:pPr>
          </w:p>
        </w:tc>
        <w:tc>
          <w:tcPr>
            <w:tcW w:w="2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September 30, 2022</w:t>
            </w:r>
          </w:p>
        </w:tc>
      </w:tr>
      <w:tr>
        <w:trPr>
          <w:trHeight w:val="227"/>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4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60" w:type="dxa"/>
            <w:vAlign w:val="bottom"/>
          </w:tcPr>
          <w:p>
            <w:pPr>
              <w:jc w:val="right"/>
              <w:spacing w:after="0"/>
              <w:rPr>
                <w:sz w:val="20"/>
                <w:szCs w:val="20"/>
                <w:color w:val="auto"/>
              </w:rPr>
            </w:pPr>
            <w:r>
              <w:rPr>
                <w:rFonts w:ascii="Arial" w:cs="Arial" w:eastAsia="Arial" w:hAnsi="Arial"/>
                <w:sz w:val="18"/>
                <w:szCs w:val="18"/>
                <w:color w:val="auto"/>
              </w:rPr>
              <w:t>70.0 %</w:t>
            </w:r>
          </w:p>
        </w:tc>
      </w:tr>
    </w:tbl>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Using the Black-Scholes option pricing model, the weighted-average fair value of stock options granted during the nine months ended September 30, 2022 was $1.65 per share.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RSU activity during the nine months ended September 30,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18"/>
                <w:szCs w:val="18"/>
                <w:color w:val="auto"/>
              </w:rPr>
            </w:pPr>
          </w:p>
        </w:tc>
        <w:tc>
          <w:tcPr>
            <w:tcW w:w="21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Weighted-Average Grant</w:t>
            </w:r>
          </w:p>
        </w:tc>
      </w:tr>
      <w:tr>
        <w:trPr>
          <w:trHeight w:val="216"/>
        </w:trPr>
        <w:tc>
          <w:tcPr>
            <w:tcW w:w="6520" w:type="dxa"/>
            <w:vAlign w:val="bottom"/>
          </w:tcPr>
          <w:p>
            <w:pPr>
              <w:spacing w:after="0"/>
              <w:rPr>
                <w:sz w:val="18"/>
                <w:szCs w:val="18"/>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87"/>
              </w:rPr>
              <w:t>(in thousands)</w:t>
            </w:r>
          </w:p>
        </w:tc>
        <w:tc>
          <w:tcPr>
            <w:tcW w:w="120" w:type="dxa"/>
            <w:vAlign w:val="bottom"/>
          </w:tcPr>
          <w:p>
            <w:pPr>
              <w:spacing w:after="0"/>
              <w:rPr>
                <w:sz w:val="18"/>
                <w:szCs w:val="18"/>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Date Fair Value per Share</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2021</w:t>
            </w:r>
          </w:p>
        </w:tc>
        <w:tc>
          <w:tcPr>
            <w:tcW w:w="2320" w:type="dxa"/>
            <w:vAlign w:val="bottom"/>
            <w:tcBorders>
              <w:top w:val="single" w:sz="8" w:color="auto"/>
            </w:tcBorders>
            <w:shd w:val="clear" w:color="auto" w:fill="CCEEFF"/>
          </w:tcPr>
          <w:p>
            <w:pPr>
              <w:jc w:val="center"/>
              <w:ind w:left="1671"/>
              <w:spacing w:after="0"/>
              <w:rPr>
                <w:sz w:val="20"/>
                <w:szCs w:val="20"/>
                <w:color w:val="auto"/>
              </w:rPr>
            </w:pPr>
            <w:r>
              <w:rPr>
                <w:rFonts w:ascii="Arial" w:cs="Arial" w:eastAsia="Arial" w:hAnsi="Arial"/>
                <w:sz w:val="18"/>
                <w:szCs w:val="18"/>
                <w:color w:val="auto"/>
                <w:w w:val="88"/>
              </w:rPr>
              <w:t>6,329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20" w:type="dxa"/>
            <w:vAlign w:val="bottom"/>
          </w:tcPr>
          <w:p>
            <w:pPr>
              <w:jc w:val="center"/>
              <w:ind w:left="1671"/>
              <w:spacing w:after="0"/>
              <w:rPr>
                <w:sz w:val="20"/>
                <w:szCs w:val="20"/>
                <w:color w:val="auto"/>
              </w:rPr>
            </w:pPr>
            <w:r>
              <w:rPr>
                <w:rFonts w:ascii="Arial" w:cs="Arial" w:eastAsia="Arial" w:hAnsi="Arial"/>
                <w:sz w:val="18"/>
                <w:szCs w:val="18"/>
                <w:color w:val="auto"/>
                <w:w w:val="88"/>
              </w:rPr>
              <w:t>4,993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6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2320" w:type="dxa"/>
            <w:vAlign w:val="bottom"/>
            <w:shd w:val="clear" w:color="auto" w:fill="CCEEFF"/>
          </w:tcPr>
          <w:p>
            <w:pPr>
              <w:jc w:val="center"/>
              <w:ind w:left="1651"/>
              <w:spacing w:after="0"/>
              <w:rPr>
                <w:sz w:val="20"/>
                <w:szCs w:val="20"/>
                <w:color w:val="auto"/>
              </w:rPr>
            </w:pPr>
            <w:r>
              <w:rPr>
                <w:rFonts w:ascii="Arial" w:cs="Arial" w:eastAsia="Arial" w:hAnsi="Arial"/>
                <w:sz w:val="18"/>
                <w:szCs w:val="18"/>
                <w:color w:val="auto"/>
                <w:w w:val="94"/>
              </w:rPr>
              <w:t>(3,844)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2320" w:type="dxa"/>
            <w:vAlign w:val="bottom"/>
            <w:tcBorders>
              <w:bottom w:val="single" w:sz="8" w:color="auto"/>
            </w:tcBorders>
          </w:tcPr>
          <w:p>
            <w:pPr>
              <w:jc w:val="center"/>
              <w:ind w:left="1651"/>
              <w:spacing w:after="0"/>
              <w:rPr>
                <w:sz w:val="20"/>
                <w:szCs w:val="20"/>
                <w:color w:val="auto"/>
              </w:rPr>
            </w:pPr>
            <w:r>
              <w:rPr>
                <w:rFonts w:ascii="Arial" w:cs="Arial" w:eastAsia="Arial" w:hAnsi="Arial"/>
                <w:sz w:val="18"/>
                <w:szCs w:val="18"/>
                <w:color w:val="auto"/>
                <w:w w:val="94"/>
              </w:rPr>
              <w:t>(1,041)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September 30, 2022</w:t>
            </w:r>
          </w:p>
        </w:tc>
        <w:tc>
          <w:tcPr>
            <w:tcW w:w="2320" w:type="dxa"/>
            <w:vAlign w:val="bottom"/>
            <w:tcBorders>
              <w:bottom w:val="single" w:sz="8" w:color="auto"/>
            </w:tcBorders>
            <w:shd w:val="clear" w:color="auto" w:fill="CCEEFF"/>
          </w:tcPr>
          <w:p>
            <w:pPr>
              <w:jc w:val="center"/>
              <w:ind w:left="1671"/>
              <w:spacing w:after="0"/>
              <w:rPr>
                <w:sz w:val="20"/>
                <w:szCs w:val="20"/>
                <w:color w:val="auto"/>
              </w:rPr>
            </w:pPr>
            <w:r>
              <w:rPr>
                <w:rFonts w:ascii="Arial" w:cs="Arial" w:eastAsia="Arial" w:hAnsi="Arial"/>
                <w:sz w:val="18"/>
                <w:szCs w:val="18"/>
                <w:color w:val="auto"/>
                <w:w w:val="88"/>
              </w:rPr>
              <w:t>6,437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bl>
    <w:p>
      <w:pPr>
        <w:spacing w:after="0" w:line="144"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Includes 1,356 vested shares that were withheld to cover tax obligations and were subsequently canceled.</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89"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September 30, 2022, total unrecognized compensation cost related to the RSUs was $42,814, which is expected to be recognized over a weighted-average remaining period of 2.7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equity-based compensation expense by type of award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7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2"/>
              </w:rPr>
              <w:t>September 30,</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45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02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99"/>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RSUs</w:t>
            </w:r>
            <w:r>
              <w:rPr>
                <w:rFonts w:ascii="Arial" w:cs="Arial" w:eastAsia="Arial" w:hAnsi="Arial"/>
                <w:sz w:val="23"/>
                <w:szCs w:val="23"/>
                <w:color w:val="auto"/>
                <w:vertAlign w:val="superscript"/>
              </w:rPr>
              <w:t>(1)</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r>
      <w:tr>
        <w:trPr>
          <w:trHeight w:val="229"/>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Restricted Common Shares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4,464</w:t>
            </w: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Total equity-based compensation expense</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3,993</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40" w:hanging="332"/>
        <w:spacing w:after="0" w:line="246"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Includes RSUs issued for the 2021 annual performance bonus, which is included within “Accounts payable and accrued liabilities” on the unaudited Condensed Consolidated Balance Sheet at December 31, 2021. These RSUs vested at issuance with a value of $7,959, which reflects a change in estimate of $632 that is included as a reduction to equity-based compensation expense and is included within “General and administrative expenses” on the unaudited Condensed Consolidated Statements of Operations for the nine months ended September 30, 2022. This amount also includes $1,487 and $3,232 recognized during the three and nine months ended September 30, 2022, respectively, for the 2022 annual performance bonus, which is included within “Accounts payable and accrued liabilities” on the unaudited Condensed Consolidated Balance Sheet at September 30, 2022</w:t>
      </w:r>
      <w:r>
        <w:rPr>
          <w:rFonts w:ascii="Arial" w:cs="Arial" w:eastAsia="Arial" w:hAnsi="Arial"/>
          <w:sz w:val="17"/>
          <w:szCs w:val="17"/>
          <w:color w:val="auto"/>
        </w:rPr>
        <w:t>.</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Of the total equity-based compensation expense, $2,279 and $7,517 was capitalized to inventory during the three and nine months ended September 30, 2022, respectively, and $1,406 was capitalized during each of the three and nine months ended September 30, 2021. As of September 30, 2022 and December 31, 2021, $2,278 and $4,814, respectively, remains capitalized in inventory. During the three and nine months ended September 30, 2022, we recognized $3,753 and $10,145, respectively, within “General and administrative expenses” on the unaudited Condensed Consolidated Statements of Operations and we recognized $2,891 and $10,053, respectively, within “Cost of goods sold.” During the three and nine months ended September 30, 2021, we recognized $2,587 and $6,785, respectively, within “General and administrative expenses” and we recognized $349 within “Cost of goods sold” during each of the three and nine months ended September 30, 2021.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14. INCOME TAXES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24"/>
                <w:szCs w:val="24"/>
                <w:color w:val="auto"/>
              </w:rPr>
            </w:pPr>
          </w:p>
        </w:tc>
        <w:tc>
          <w:tcPr>
            <w:tcW w:w="308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0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80" w:type="dxa"/>
            <w:vAlign w:val="bottom"/>
          </w:tcPr>
          <w:p>
            <w:pPr>
              <w:spacing w:after="0"/>
              <w:rPr>
                <w:sz w:val="15"/>
                <w:szCs w:val="15"/>
                <w:color w:val="auto"/>
              </w:rPr>
            </w:pPr>
          </w:p>
        </w:tc>
        <w:tc>
          <w:tcPr>
            <w:tcW w:w="1280" w:type="dxa"/>
            <w:vAlign w:val="bottom"/>
          </w:tcPr>
          <w:p>
            <w:pPr>
              <w:jc w:val="right"/>
              <w:ind w:right="55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(5,684)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(36,092)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(72,868)</w:t>
            </w: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12,307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29,757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33,278</w:t>
            </w: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(196.7)%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57"/>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36,636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40,954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93,051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105,137</w:t>
            </w:r>
          </w:p>
        </w:tc>
      </w:tr>
      <w:tr>
        <w:trPr>
          <w:trHeight w:val="230"/>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Effective tax rate on gross profit</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32.0 %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31.7 %</w:t>
            </w:r>
          </w:p>
        </w:tc>
      </w:tr>
    </w:tbl>
    <w:p>
      <w:pPr>
        <w:spacing w:after="0" w:line="2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 As such, the effective tax rate for the three and nine months ended September 30, 2022 varies from the effective tax rate for the three and nine months ended September 30, 2021 due to the tax-effected change in nondeductible expenses under IRC Section 280E as a proportion of pre-tax loss during the period.</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84" w:lineRule="exact"/>
        <w:rPr>
          <w:sz w:val="20"/>
          <w:szCs w:val="20"/>
          <w:color w:val="auto"/>
        </w:rPr>
      </w:pPr>
    </w:p>
    <w:p>
      <w:pPr>
        <w:ind w:right="7520" w:firstLine="8"/>
        <w:spacing w:after="0" w:line="440" w:lineRule="auto"/>
        <w:tabs>
          <w:tab w:leader="none" w:pos="27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have significant future annual commitments, other than related to leases and debt, which are disclosed in Notes 10 and 11, respectively, and certain payments related to acquisitions, as disclosed in Note 4.</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conjunction with the OCC acquisition (see Note 4, “Acquisitions”) in December 2021, the Company entered into a supply agreement with a producer and supplier of medical marijuana products in Ohio (the “Ohio Supply Agreement”) with an initial expiration date of August 2028. Under the Ohio Supply Agreement, the Company will purchase products from the supplier that results in 7.5% of the Company’s monthly gross sales of all products in its Ohio dispensaries for the first five years, and 5% for the remaining term. The Company can establish the selling price of the products and the purchases are made at the lowest then-prevailing wholesale market price of products sold by the supplier to other dispensaries in Ohio.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Matters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September 30, 2022 in all material respects, cannabis regulations continue to evolve and are subject to differing interpretations, and accordingly, the Company may be subject to regulatory fines, penalties, or restrictions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United States authorize medical and/or adult 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September 30, 2022 there were no pending or threatened lawsuits that could reasonably be expected to have a material effect on our consolidated results of operations, other than as disclosed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Dispute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28, 2021, Senvest Management, LLC, Hadron Capital (Cayman) LTD., and Measure8 Venture Partners, LLC (collectively, the “Claimants”), as former holders of convertible notes issued and sold by the Company (the “AWH Convertible Promissory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at that time, Abner Kurtin, before the American Arbitration Association. In their Arbitration Demand, the Claimants take issue with the April 22, 2021 amendment of the terms of the 2019 Convertible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 Convertible Promissory Notes and 2019 Convertible Note Purchase Agreement and the Amended Notes Consent was binding on all holders of the AWH Convertible Promissory Notes.</w:t>
      </w:r>
    </w:p>
    <w:p>
      <w:pPr>
        <w:spacing w:after="0" w:line="12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Mr. Kurtin, and the Claimants entered into a settlement agreement, dated April 29, 2022, whereby the Company agreed to pay the Claimants a total of $5,000. This amount is included within “Settlement expense” on the unaudited Condensed Consolidated Statements of Operations in the Financial Statements for the nine months ended September 30, 2022 and was paid in May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MedMen NY Litigation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MMNY, which investment would also be used to repay MMNY’s senior secured lender, if adult-use cannabis sales commenced in MMNY’s dispensaries.</w:t>
      </w:r>
    </w:p>
    <w:p>
      <w:pPr>
        <w:spacing w:after="0" w:line="19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receipt of such notice, on January 13, 2022, the Company filed a complaint against MedMen and others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 Company. On February 14, 2022, the Company filed a first amended complaint, not only seeking specific performance but also damages related to MedMen’s breaches of the Investment Agreement. On that same day, the Company also filed a motion to dismiss the counterclaims. On March 7, 2022, MedMen filed an amended answer and counterclaims against the Company. On March 28, 2022, the Company moved to dismiss MedMen’s amended counterclaims. That motion remains pending.</w:t>
      </w:r>
    </w:p>
    <w:p>
      <w:pPr>
        <w:spacing w:after="0" w:line="1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10, 2022, the Company and MedMen signed a term sheet, pursuant to which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contemplated in the term sheet, upon closing, the Company would receive a 99.99% controlling interest of MMNY and the Company would pay MedMen $74,000, which reflects the original transaction consideration plus an additional $11,000 per the parties’ term sheet. The Company already paid $4,000 as a deposit.</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amended transaction terms contemplated in the term sheet also would have required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The Company has determined that MedMen cannot make or provide the representations and warranties MedMen would have been required to make as part of the contemplated transactions. Therefore, the Company no longer intends to consummate the contemplated transactions.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30, 2022, the Company filed a motion for leave to file a second amended complaint. The second amended complaint no longer seeks specific performance that MedMen be required to close the transactions contemplated by the Investment Agreement. The second amended complaint, however, continues to seek damages against MedMen, including, but not limited to, the return of the deposit, working capital advances, and capital expenditure advances paid to MMNY by the Company as well as other damages for MedMen’s failure to close the contemplated transactions. The motion remains pending. In addition, MedMen has notified the Company that MedMen anticipates seeking leave to file second amended counterclaims against the Company, but it has not yet done so.</w:t>
      </w:r>
    </w:p>
    <w:p>
      <w:pPr>
        <w:spacing w:after="0" w:line="13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Following the Company’s decision to no longer consummate the contemplated transactions, the Company expensed a total of $1,704 of capitalized costs, primarily consisting of capital expenditures or deposits that were incurred for certain locations. This write-off is included within “General and administrative expenses” on the unaudited Condensed Consolidated Statements of Operations for the three and nine months ended September 30, 2022 and within “Other” on the unaudited Condensed Consolidated Statements of Cash Flows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were no significant related party transactions during the nine months ended September 30, 2022, other than as disclosed in Note 6, “Notes Receivable.”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other current assets: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2022</w:t>
            </w:r>
          </w:p>
        </w:tc>
        <w:tc>
          <w:tcPr>
            <w:tcW w:w="260" w:type="dxa"/>
            <w:vAlign w:val="bottom"/>
          </w:tcPr>
          <w:p>
            <w:pPr>
              <w:spacing w:after="0"/>
              <w:rPr>
                <w:sz w:val="19"/>
                <w:szCs w:val="19"/>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Deposits and other receivables</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5,177</w:t>
            </w:r>
          </w:p>
        </w:tc>
      </w:tr>
      <w:tr>
        <w:trPr>
          <w:trHeight w:val="229"/>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deposits</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Tenant improvement allowance</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2,507</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24,831</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accounts payable and accrued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2022</w:t>
            </w:r>
          </w:p>
        </w:tc>
        <w:tc>
          <w:tcPr>
            <w:tcW w:w="260" w:type="dxa"/>
            <w:vAlign w:val="bottom"/>
          </w:tcPr>
          <w:p>
            <w:pPr>
              <w:spacing w:after="0"/>
              <w:rPr>
                <w:sz w:val="19"/>
                <w:szCs w:val="19"/>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December 31, 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Acquisition-related liabilities</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 purchases</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w:t>
            </w:r>
          </w:p>
        </w:tc>
      </w:tr>
      <w:tr>
        <w:trPr>
          <w:trHeight w:val="230"/>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Accrued payroll and related expenses</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11,760</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6,809</w:t>
            </w:r>
          </w:p>
        </w:tc>
      </w:tr>
      <w:tr>
        <w:trPr>
          <w:trHeight w:val="230"/>
        </w:trPr>
        <w:tc>
          <w:tcPr>
            <w:tcW w:w="20" w:type="dxa"/>
            <w:vAlign w:val="bottom"/>
            <w:shd w:val="clear" w:color="auto" w:fill="CCEEFF"/>
          </w:tcPr>
          <w:p>
            <w:pPr>
              <w:spacing w:after="0"/>
              <w:rPr>
                <w:sz w:val="19"/>
                <w:szCs w:val="19"/>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26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56,952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45,454</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general and administrative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6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w w:val="94"/>
              </w:rPr>
              <w:t>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54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0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jc w:val="right"/>
              <w:ind w:right="530"/>
              <w:spacing w:after="0" w:line="156" w:lineRule="exact"/>
              <w:rPr>
                <w:sz w:val="20"/>
                <w:szCs w:val="20"/>
                <w:color w:val="auto"/>
              </w:rPr>
            </w:pPr>
            <w:r>
              <w:rPr>
                <w:rFonts w:ascii="Arial" w:cs="Arial" w:eastAsia="Arial" w:hAnsi="Arial"/>
                <w:sz w:val="18"/>
                <w:szCs w:val="18"/>
                <w:b w:val="1"/>
                <w:bCs w:val="1"/>
                <w:color w:val="auto"/>
                <w:w w:val="99"/>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16,276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37,140</w:t>
            </w:r>
          </w:p>
        </w:tc>
      </w:tr>
      <w:tr>
        <w:trPr>
          <w:trHeight w:val="229"/>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Rent and utilities</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5,137</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16,089</w:t>
            </w: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12,945</w:t>
            </w:r>
          </w:p>
        </w:tc>
      </w:tr>
      <w:tr>
        <w:trPr>
          <w:trHeight w:val="230"/>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7,409</w:t>
            </w: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r>
      <w:tr>
        <w:trPr>
          <w:trHeight w:val="229"/>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on sale of assets</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34,159</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unit 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filing date of this Quarterly Report on Form 10-Q require adjustment to or disclosure in the Company’s Financial Statements. There were no events that require adjustment to or disclosure in the Financial Statements, except as disclosed.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October 14, 2022, the Company acquired Marichron, a medical cannabis processor in Ohio, for total consideration of approximately $2,750, consisting of cash consideration of $1,750, of which $1,500 was previously funded under a promissory note, and settlement of approximately $1,000 due under a working capital loan, subject to final adjustment. Refer to Note 6, “Notes Receivable,” for additional information regarding the promissory note and working capital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following management discussion and analysis, which we refer to as the “MD&amp;A”, of the financial condition and results of operations of Ascend Wellness Holdings, Inc. (the “Company,” “AWH,” or “Ascend”) is for the three and nine months ended September 30, 2022 and 2021. It is supplemental to, and should be read in conjunction with, the unaudited condensed consolidated financial statements, and the accompanying notes thereto, (the “Financial Statements”) appearing elsewhere in this Quarterly Report on Form 10-Q (the “Quarterly Report” or “Form 10-Q”) and our Annual Report on Form 10-K for the year ended December 31, 2021 (the “Annual Report”), which has been filed with the United States Securities and Exchange Commission (“SEC”) and with the relevant Canadian securities regulatory authorities under its profile on the System for Electronic Document Analysis and Retrieval (“SEDAR”). The Financial Statements and Annual Report were prepared in accordance with accounting principles generally accepted in the United States of America, which we refer to as “GAAP.”</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Financial Statements. In addition to historical information, the discussion in this section contains forward-looking statements and forward-looking information (collectively, “forward-looking information”) that involve risks and uncertainties. Generally, forward-looking information may be identified by the use of forward-looking terminology such as “plans,” “expects,” “does not expect,” “proposed,” “is expected,” “budgets,” “scheduled,” “estimates,” “forecasts,” “intends,” “anticipates,” “does not anticipate,” “believes,” or variations of such words and phrases, or by the use of words or phrases which state that certain actions, events, or results may, could, would, or might occur or be achieved. There can be no assurance that such forward-looking information will prove to be accurate, and actual results and future events could differ materially from those anticipated in such forward-looking information. Forward-looking information is subject to known and unknown risks, uncertainties, and other factors that may cause the actual results, level of activity, performance, or achievements of the Company to be materially different from those or implied by such forward-looking information. See “Forward-Looking Statements” for more information. Readers are further cautioned not to place undue reliance on forward-looking information as there can be no assurance that the plans, intentions, or expectations upon which they are placed will occur. Forward-looking information in this MD&amp;A is expressly qualified by this cautionary statement.</w:t>
      </w:r>
    </w:p>
    <w:p>
      <w:pPr>
        <w:spacing w:after="0" w:line="1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w:t>
      </w:r>
    </w:p>
    <w:p>
      <w:pPr>
        <w:spacing w:after="0" w:line="13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The Company’s shares of Class A common stock are listed on the Canadian Securities Exchange (the “CSE”) under the ticker symbol “AAWH.U” and are quoted on the OTCQX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Best Market under the symbol “AAWH.” We are an emerging growth company under federal securities laws and as such we are able to elect to follow scaled disclosure requirements for this filing.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this filing. We refer to this conversion throughout this filing as the “Conversion.” As a result of the Conversion, the members of Ascend Wellness Holdings, LLC became holders of shares of stock of Ascend Wellness Holdings, Inc.</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2021, the Company completed an Initial Public Offering (“IPO”) of its Class A common stock, in which it issued and sold a total of 11,500 shares of Class A common stock, including the underwriters’ over-allotment option, at a price of $8.00 per share with net proceeds of approximately $86,065, after deducting underwriting discounts and commissions and certain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in the Financial Statements for additional details.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Since our formation, we have expanded our operational footprint, primarily through acquisitions, and currently have direct or indirect operations or financial interests in six United States geographic markets: Illinois, Michigan, Ohio, Massachusetts, New Jersey, and Pennsylvania. We currently employ approximately 1,900 people.</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committed to being vertically integrated in every state we operate in, which entails controlling the entire supply chain from seed to sale. We are currently vertically integrated in five out of the six states in which we operate with expansion plans underway to achieve vertical integration in all six states. While we have been successful in opening facilities and dispensaries, we expect continued growth to be driven by opening new operational facilities and dispensaries under our current licenses, expansion of our current facilities, and increased consumer demand.</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consumer products portfolio is generated primarily from plant material that we grow and process ourselves. As of September 30, 2022, we produce our consumer packaged goods in five manufacturing facilities with 238,000 square feet of current operational canopy and total current capacity of approximately 119,000 pounds annually. We are undergoing expansions that we hope to complete by the end of 2022, which are expected to increase our cumulative canopy to approximately 244,000 square feet with an estimated total annual production capacity of approximately 122,000 pounds post build-out. As of September 30, 2022, our product portfolio consists of 413 stock keeping units (“SKUs”), across a range of cannabis product categories, including flower, pre-rolls, concentrates, vapes, edibles, and other cannabis-related products. As of September 30, 2022, we have 22 open and operating retail locations and opened one additional location in October 2022. We expect to open two additional retail locations by the end of 2022.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AWH continues to expand and further develop its business and operations. During and subsequent to the quarter, we:</w:t>
      </w:r>
    </w:p>
    <w:p>
      <w:pPr>
        <w:spacing w:after="0" w:line="171" w:lineRule="exact"/>
        <w:rPr>
          <w:sz w:val="20"/>
          <w:szCs w:val="20"/>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entered into a definitive agreement with Ohio Patient Access (“OPA”) providing the option to acquire three medical dispensaries in Ohio, as further described below;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entered into definitive agreements to acquire two additional licenses in Illinois, as further described below;</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commenced medical sales at our Fort Lee, New Jersey dispensary in August and expect adult-use sales will begin during the fourth quarter, commenced adult-use sales at our Montclair, New Jersey in August, and added 25,000 square feet of canopy at our New Jersey cultivation facility;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the build out of our Pennsylvania cultivation facility, opened our Scranton, Pennsylvania dispensary in October 2022, and continued the build out of our dispensary in Wayne, Pennsylvania that is expected to open during the fourth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Story of PA</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19, 2022, we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we intend to open a cultivation and processing facility and up to six medical dispensaries throughout the Commonwealth of Pennsylvania. We will help fund clinical research to benefit the patients of Pennsylvania by contributing $30,000 to Geisinger over the next two years (of which $15,000 was funded in April 2022), and up to an additional $10,000 over the next ten years.</w:t>
      </w:r>
    </w:p>
    <w:p>
      <w:pPr>
        <w:spacing w:after="0" w:line="12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transaction was accounted for as an asset acquisition and the total acquisition cost of $100,203 was allocated to the license intangible asset acquired. The total acquisition cost includes the consideration transferred for the equity interests in Story of PA, the research funding commitment, other liabilities assumed in the transaction, and certain transaction costs. Refer to Note 4, “Acquisitions,” in the Financial Statements for additional information.</w:t>
      </w:r>
    </w:p>
    <w:p>
      <w:pPr>
        <w:spacing w:after="0" w:line="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this transaction, AWH entered its sixth market in the United States. We opened our first dispensary in the state in Scranton in October 2022 and continued the build-out of our second dispensary in Wayne that is expected to open during the fourth quarter. The Company remains focused on the building out the cultivation facility and siting locations for the four additional dispensaries.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Ohio Patient Access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 The Company determined OPA is a variable interest entity (“VIE”) and the Company became the primary beneficiary as of the signing date; therefore, OPA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consolidated as a VIE. Refer to Note 8, “Variable Interest Entities,” in the Financial Statements for additional information regarding the Company’s VIEs.</w:t>
      </w:r>
    </w:p>
    <w:p>
      <w:pPr>
        <w:spacing w:after="0" w:line="19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Ohio Agreement also includes an earn-out provision of $7,300 that is dependent upon the commencement of adult-use cannabis sales in Ohio. The sellers may elect to receive the earn-out payment as either cash or shares of the Company’s Class A common stock, or a combination thereof. Refer to Note 4, “Acquisitions,” in the Financial Statements for additional information.</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total estimated fair value of the transaction consideration was determined to be $24,132 and consists of the fair value of the cash consideration of $19,290 plus the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unaudited Condensed Consolidated Balance Sheet in the Financial Statements at September 30, 2022; refer to Note 11, “Debt,” in the Financial Statements for additional information. The contingent consideration is included within “Other non-current liabilities” on the unaudited Condensed Consolidated Balance Sheet in the Financial Statements at September 30, 2022.</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license intangible asset acquired was determined to have an estimated fair value of $21,684 and the three properties had an estimated fair value of $2,448. Direct transaction expenses of $224 are included in “General and administrative expenses” on the unaudited Condensed Consolidated Statements of Operations in the Financial Statements for the three and nine months ended September 30, 2022. Refer to Note 4, “Acquisitions,” in the Financial Statements for additional information related to this transaction.</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this transaction, the Company will expand its footprint in Ohio to five dispensaries. The three additional dispensaries are expected to be built-out over the next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Licenses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2022, the Company entered into definitive agreements to acquire two additional licenses in Illinois. Neither of these licenses were associated with active operations at signing and the transfer of each license is subject to regulatory review and approval.</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and is included as a sellers’ note within “Current portion of debt, net” on the unaudited Condensed Consolidated Balance Sheet in the Financial Statements at September 30, 2022; refer to Note 11, “Debt,” in the Financial Statements for additional information. Direct transaction expenses were immaterial.</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second transaction was entered on August 12, 2022 for total cash consideration of $5,600. The Company accounted for this transaction as an asset acquisition and allocated the cash consideration as the cost of the license acquired. The consideration will be paid at final closing and is included as a sellers’ note within “Current portion of debt, net” on the unaudited Condensed Consolidated Balance Sheet in the Financial Statements at September 30, 2022. Direct transaction expenses were immaterial.</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licenses acquired will be amortized in accordance with the Company’s policy once the related operations commence. Refer to Note 4, “Acquisitions,” in the Financial Statements for additional information related to these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Regulation Overview</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the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Highlights</w:t>
      </w:r>
    </w:p>
    <w:p>
      <w:pPr>
        <w:spacing w:after="0" w:line="175" w:lineRule="exact"/>
        <w:rPr>
          <w:sz w:val="20"/>
          <w:szCs w:val="20"/>
          <w:color w:val="auto"/>
        </w:rPr>
      </w:pPr>
    </w:p>
    <w:p>
      <w:pPr>
        <w:ind w:left="660" w:hanging="328"/>
        <w:spacing w:after="0" w:line="308" w:lineRule="auto"/>
        <w:tabs>
          <w:tab w:leader="none" w:pos="655"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color w:val="auto"/>
        </w:rPr>
        <w:t>Revenue increased by $16,856, or 18%, during Q3 2022, as compared to Q3 2021, primarily driven by growth from our existing business, including the commencement of adult-use sales at two of our New Jersey dispensaries, as well as new site openings and acquisitions.</w:t>
      </w:r>
    </w:p>
    <w:p>
      <w:pPr>
        <w:spacing w:after="0" w:line="92" w:lineRule="exact"/>
        <w:rPr>
          <w:rFonts w:ascii="Arial" w:cs="Arial" w:eastAsia="Arial" w:hAnsi="Arial"/>
          <w:sz w:val="17"/>
          <w:szCs w:val="17"/>
          <w:b w:val="1"/>
          <w:bCs w:val="1"/>
          <w:i w:val="1"/>
          <w:iCs w:val="1"/>
          <w:color w:val="auto"/>
        </w:rPr>
      </w:pPr>
    </w:p>
    <w:p>
      <w:pPr>
        <w:ind w:left="660" w:hanging="328"/>
        <w:spacing w:after="0"/>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Operating profit decreased by $9,136 during Q3 2022, as compared to Q3 2021, primarily driven by lower gross profit margin.</w:t>
      </w:r>
    </w:p>
    <w:p>
      <w:pPr>
        <w:spacing w:after="0" w:line="171"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color w:val="auto"/>
        </w:rPr>
        <w:t>Net decrease in cash and cash equivalents of $64,088 during the nine months ended September 30, 2022, primarily driven by net cash used in investing activities, including payments related to acquisitions, and net cash used to support working capital needs and operating activities, partially offset by proceeds received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8180" w:type="dxa"/>
            <w:vAlign w:val="bottom"/>
            <w:gridSpan w:val="9"/>
          </w:tcPr>
          <w:p>
            <w:pPr>
              <w:spacing w:after="0"/>
              <w:rPr>
                <w:sz w:val="20"/>
                <w:szCs w:val="20"/>
                <w:color w:val="auto"/>
              </w:rPr>
            </w:pPr>
            <w:r>
              <w:rPr>
                <w:rFonts w:ascii="Arial" w:cs="Arial" w:eastAsia="Arial" w:hAnsi="Arial"/>
                <w:sz w:val="18"/>
                <w:szCs w:val="18"/>
                <w:b w:val="1"/>
                <w:bCs w:val="1"/>
                <w:i w:val="1"/>
                <w:iCs w:val="1"/>
                <w:color w:val="auto"/>
                <w:w w:val="93"/>
              </w:rPr>
              <w:t>Three Months Ended September 30, 2022 Compared with the Three Months Ended September 30, 2021</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04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71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731"/>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gridSpan w:val="2"/>
          </w:tcPr>
          <w:p>
            <w:pPr>
              <w:ind w:left="320"/>
              <w:spacing w:after="0" w:line="149" w:lineRule="exact"/>
              <w:rPr>
                <w:sz w:val="20"/>
                <w:szCs w:val="20"/>
                <w:color w:val="auto"/>
              </w:rPr>
            </w:pPr>
            <w:r>
              <w:rPr>
                <w:rFonts w:ascii="Arial" w:cs="Arial" w:eastAsia="Arial" w:hAnsi="Arial"/>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111,238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94,382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w:t>
            </w: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(74,602)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(53,428)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21,174</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40%</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36,636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40,954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r>
      <w:tr>
        <w:trPr>
          <w:trHeight w:val="213"/>
        </w:trPr>
        <w:tc>
          <w:tcPr>
            <w:tcW w:w="20" w:type="dxa"/>
            <w:vAlign w:val="bottom"/>
          </w:tcPr>
          <w:p>
            <w:pPr>
              <w:spacing w:after="0"/>
              <w:rPr>
                <w:sz w:val="18"/>
                <w:szCs w:val="18"/>
                <w:color w:val="auto"/>
              </w:rPr>
            </w:pPr>
          </w:p>
        </w:tc>
        <w:tc>
          <w:tcPr>
            <w:tcW w:w="4040" w:type="dxa"/>
            <w:vAlign w:val="bottom"/>
            <w:gridSpan w:val="2"/>
          </w:tcPr>
          <w:p>
            <w:pPr>
              <w:ind w:left="120"/>
              <w:spacing w:after="0"/>
              <w:rPr>
                <w:sz w:val="20"/>
                <w:szCs w:val="20"/>
                <w:color w:val="auto"/>
              </w:rPr>
            </w:pPr>
            <w:r>
              <w:rPr>
                <w:rFonts w:ascii="Arial" w:cs="Arial" w:eastAsia="Arial" w:hAnsi="Arial"/>
                <w:sz w:val="16"/>
                <w:szCs w:val="16"/>
                <w:i w:val="1"/>
                <w:iCs w:val="1"/>
                <w:color w:val="auto"/>
              </w:rPr>
              <w:t>Gross profit %</w:t>
            </w: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i w:val="1"/>
                <w:iCs w:val="1"/>
                <w:color w:val="auto"/>
              </w:rPr>
              <w:t>32.9 %</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43.4 %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2"/>
        </w:trPr>
        <w:tc>
          <w:tcPr>
            <w:tcW w:w="2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34,159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29,341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16%</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11,613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(79)%</w:t>
            </w:r>
          </w:p>
        </w:tc>
      </w:tr>
      <w:tr>
        <w:trPr>
          <w:trHeight w:val="237"/>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auto"/>
              </w:rPr>
              <w:t>(12,376)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(3,942)</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(32)%</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520%</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(8,161)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(12,332)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(34)%</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691%</w:t>
            </w: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(11,178)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(12,307)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(16,862)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(13,026)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increased by $16,856, or 18%, during the three months ended September 30, 2022, as compared to the three months ended September 30, 2021. Revenue across our legacy locations increased by $14,131, which includes the benefit of the commencement of adult-use sales at one of our New Jersey dispensaries that began in April 2022 and a second location that began in August 2022. Additionally, new dispensaries that opened during late 2021 and early 2022 contributed $1,944 to our revenue growth and we recognized $3,205 of incremental revenue from acquisitions. The current period also benefited from an increase in wholesale volume sold, but was partially offset by pricing pressure across the markets in which we operate and an increase in intercompany sales that combined resulted in a decrease of $2,424 in net revenue related to our wholesale operations. As of September 30, 2022, we had 413 SKUs for our cultivation products, compared to 199 SKUs as of September 30, 2021.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Cost of goods sold increased by $21,174, or 40%, during the three months ended September 30, 2022, as compared to the three months ended September 30, 2021. Cost of goods sold represents direct and indirect expenses attributable to the production of wholesale products as well as direct expenses incurred in purchasing products from other wholesalers. The increase in cost of goods sold in the three months ended September 30, 2022 was driven by expansion of our operations, including $2,126 of incremental costs from acquisitions. Gross profit for the three months ended September 30, 2022 was $36,636, representing a gross margin of 32.9%, compared to gross profit of $40,954 and gross margin of 43.4% for the three months ended September 30, 2021. The decrease in gross margin was primarily driven by $4,049 of write-downs of certain inventory items within our Michigan business. Additionally, we recognized lower margins in our wholesale operations due to pricing pressure and a shift in product mix, partially offset by improved utilization and production at our Massachusetts and New Jersey cultivation facilities due to increased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increased by $4,818, or 16%, during the three months ended September 30, 2022, as compared to the three months ended September 30, 2021. The increase was primarily related to:</w:t>
      </w:r>
    </w:p>
    <w:p>
      <w:pPr>
        <w:spacing w:after="0" w:line="116" w:lineRule="exact"/>
        <w:rPr>
          <w:sz w:val="20"/>
          <w:szCs w:val="20"/>
          <w:color w:val="auto"/>
        </w:rPr>
      </w:pPr>
    </w:p>
    <w:p>
      <w:pPr>
        <w:jc w:val="both"/>
        <w:ind w:left="660" w:right="2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$2,842 increase in compensation expense, including $1,166 of higher equity-based compensation expense, resulting from higher headcount of approximately 1,900 employees as of September 30, 2022, compared to approximately 1,400 as of September 30, 2021 to support our expanded operations;</w:t>
      </w:r>
    </w:p>
    <w:p>
      <w:pPr>
        <w:spacing w:after="0" w:line="129" w:lineRule="exact"/>
        <w:rPr>
          <w:rFonts w:ascii="Arial" w:cs="Arial" w:eastAsia="Arial" w:hAnsi="Arial"/>
          <w:sz w:val="18"/>
          <w:szCs w:val="18"/>
          <w:color w:val="auto"/>
        </w:rPr>
      </w:pPr>
    </w:p>
    <w:p>
      <w:pPr>
        <w:ind w:left="660" w:right="20" w:hanging="328"/>
        <w:spacing w:after="0" w:line="342"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 $1,704 expense related to the write-off of certain previously capitalized costs associated with the New York transaction (refer to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Operations–Legal Matters–MedMen NY Litigation” </w:t>
      </w:r>
      <w:r>
        <w:rPr>
          <w:rFonts w:ascii="Arial" w:cs="Arial" w:eastAsia="Arial" w:hAnsi="Arial"/>
          <w:sz w:val="16"/>
          <w:szCs w:val="16"/>
          <w:color w:val="auto"/>
        </w:rPr>
        <w:t>for additional information);</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$752 increase in depreciation and amortization expense due to $499 of incremental depreciation expense due to a larger average balance of fixed assets in service and $253 of incremental amortization of licenses;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$427 of higher insurance expenses; and</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$297 increase in charitable donations, including our corporate match of donations to the Last Prisoner Project, a cannabis criminal justice-focused nonprofit organization.</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increases were partially offset by a $1,306 decrease in rent and utilities and related overhead expenses due to more productive assets being utilized in the current year compared to the prior year and a $296 gain from certain lease modifications, as compared to a $649 loss on sale of assets in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decreased by $3,942, or 32%, during the three months ended September 30, 2022, as compared to the three months ended September 30, 2021. The decrease was primarily driven by the absence of a $6,637 net loss on extinguishment of previously outstanding debt that we recognized in the prior year, partially offset by higher cash interest expense in the current year associated with additional borrowings under our credit facility. During the three months ended September 30, 2022, the Company had a weighted-average outstanding debt balance of $315,648 with a weighted-average interest rate of 9.5%, excluding finance leases, compared to a weighted-average debt balance of $181,425 during the three months ended September 30, 2021 with a weighted-average interest rate of 10.8%.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quarterly tax provision is calculated under the discrete method which treats the interim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The Company believes, at this time, the use of this discrete method is more appropriate than the annual effective tax rate method due to the high degree of uncertainty in estimating annual pre-tax income due to the early growth stage of the business.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statutory federal tax rate was 21% during both periods. During the three months ended September 30, 2022 the Company had operations in six U.S. geographic markets: Illinois, Michigan, Ohio, Massachusetts, New Jersey, and Pennsylvania, which have state tax rates ranging from 6% to 11.5%. Certain states, including Michigan, do not align with IRC Section 280E for state tax purposes and permit the deduction of ordinary and necessary business expenses from gross profit in the calculation of state taxable income. There have been no material changes to income tax matters in connection with the normal course of our operations during the current year.</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was $11,178, or 30.5%, of gross profit, during the three months ended September 30, 2022, as compared to $12,307, or 30.1%, of gross profit, during the three months ended September 30, 2021. The effective tax rate on gross profit for the three months ended September 30, 2022 was impacted by higher penalties and interest due on federal tax payments in the current year as compared to the prior year, but benefited from higher relative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3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8180" w:type="dxa"/>
            <w:vAlign w:val="bottom"/>
            <w:gridSpan w:val="9"/>
          </w:tcPr>
          <w:p>
            <w:pPr>
              <w:spacing w:after="0"/>
              <w:rPr>
                <w:sz w:val="20"/>
                <w:szCs w:val="20"/>
                <w:color w:val="auto"/>
              </w:rPr>
            </w:pPr>
            <w:r>
              <w:rPr>
                <w:rFonts w:ascii="Arial" w:cs="Arial" w:eastAsia="Arial" w:hAnsi="Arial"/>
                <w:sz w:val="18"/>
                <w:szCs w:val="18"/>
                <w:b w:val="1"/>
                <w:bCs w:val="1"/>
                <w:i w:val="1"/>
                <w:iCs w:val="1"/>
                <w:color w:val="auto"/>
                <w:w w:val="95"/>
              </w:rPr>
              <w:t>Nine Months Ended September 30, 2022 Compared with the Nine Months Ended September 30, 2021</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8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 September 30,</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10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1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right"/>
              <w:ind w:right="711"/>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gridSpan w:val="2"/>
          </w:tcPr>
          <w:p>
            <w:pPr>
              <w:ind w:left="320"/>
              <w:spacing w:after="0" w:line="149" w:lineRule="exact"/>
              <w:rPr>
                <w:sz w:val="20"/>
                <w:szCs w:val="20"/>
                <w:color w:val="auto"/>
              </w:rPr>
            </w:pPr>
            <w:r>
              <w:rPr>
                <w:rFonts w:ascii="Arial" w:cs="Arial" w:eastAsia="Arial" w:hAnsi="Arial"/>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293,827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243,886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(200,776)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(138,749)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62,027</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45%</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93,051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105,137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r>
      <w:tr>
        <w:trPr>
          <w:trHeight w:val="213"/>
        </w:trPr>
        <w:tc>
          <w:tcPr>
            <w:tcW w:w="20" w:type="dxa"/>
            <w:vAlign w:val="bottom"/>
          </w:tcPr>
          <w:p>
            <w:pPr>
              <w:spacing w:after="0"/>
              <w:rPr>
                <w:sz w:val="18"/>
                <w:szCs w:val="18"/>
                <w:color w:val="auto"/>
              </w:rPr>
            </w:pPr>
          </w:p>
        </w:tc>
        <w:tc>
          <w:tcPr>
            <w:tcW w:w="4100" w:type="dxa"/>
            <w:vAlign w:val="bottom"/>
            <w:gridSpan w:val="2"/>
          </w:tcPr>
          <w:p>
            <w:pPr>
              <w:ind w:left="120"/>
              <w:spacing w:after="0"/>
              <w:rPr>
                <w:sz w:val="20"/>
                <w:szCs w:val="20"/>
                <w:color w:val="auto"/>
              </w:rPr>
            </w:pPr>
            <w:r>
              <w:rPr>
                <w:rFonts w:ascii="Arial" w:cs="Arial" w:eastAsia="Arial" w:hAnsi="Arial"/>
                <w:sz w:val="16"/>
                <w:szCs w:val="16"/>
                <w:i w:val="1"/>
                <w:iCs w:val="1"/>
                <w:color w:val="auto"/>
              </w:rPr>
              <w:t>Gross profit %</w:t>
            </w:r>
          </w:p>
        </w:tc>
        <w:tc>
          <w:tcPr>
            <w:tcW w:w="3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i w:val="1"/>
                <w:iCs w:val="1"/>
                <w:color w:val="auto"/>
              </w:rPr>
              <w:t>31.7 %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i w:val="1"/>
                <w:iCs w:val="1"/>
                <w:color w:val="auto"/>
              </w:rPr>
              <w:t>43.1 %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100,959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Arial" w:cs="Arial" w:eastAsia="Arial" w:hAnsi="Arial"/>
                <w:sz w:val="18"/>
                <w:szCs w:val="18"/>
                <w:color w:val="auto"/>
              </w:rPr>
              <w:t>85,099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15,860</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19%</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Settlement expense</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36,511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(86)%</w:t>
            </w: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105,959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121,610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(15,651)</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(13)%</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(12,908)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(16,473)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w:t>
            </w:r>
          </w:p>
        </w:tc>
      </w:tr>
      <w:tr>
        <w:trPr>
          <w:trHeight w:val="250"/>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(23,711)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(56,601)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(32,890)</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(58)%</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156%</w:t>
            </w: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(23,184)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(56,395)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(33,211)</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(59)%</w:t>
            </w: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(36,092)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(72,868)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(36,776)</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w:t>
            </w: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(29,757)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(33,278)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(65,849)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(106,146)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(40,297)</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increased by $49,941, or 20%, during the nine months ended September 30, 2022, as compared to the nine months ended September 30, 2021. Revenue from our legacy locations increased by $39,927, which includes the benefit of the commencement of adult-use sales at one of our New Jersey dispensaries that began in April 2022, and new dispensaries that opened during late 2021 and 2022 contributed $5,051 to our revenue growth. Additionally, we recognized incremental revenue from acquisitions of $10,036, which includes $451 related to the Ohio cultivation site that we acquired during the second quarter of 2021. The current period also benefited from an increase in wholesale volume sold, but was partially offset by pricing pressure across the markets in which we operate and an increase in intercompany sales that combined resulted in a decrease of $5,073 in net revenue related to our wholesale operations. As of September 30, 2022, we had 413 SKUs for our cultivation products, compared to 199 SKUs as of September 30,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goods sold increased by $62,027, or 45%, during the nine months ended September 30, 2022, as compared to the nine months ended September 30, 2021. Cost of goods sold represents direct and indirect expenses attributable to the production of wholesale products as well as direct expenses incurred in purchasing products from other wholesalers. The increase in cost of goods sold in the nine months ended September 30, 2022 was driven by expansion of our operations, including $7,186 of incremental costs from acquisitions. Gross profit for the nine months ended September 30, 2022 was $93,051, representing a gross margin of 31.7%, compared to gross profit of $105,137 and gross margin of 43.1% for the nine months ended September 30, 2021. The decrease in gross margin was primarily driven by lower margins at our Massachusetts and Illinois cultivation facilities as staffing increased ahead of canopy expansions, which resulted in higher production expenses in the first half of the year but lead to improved utilization during the third quarter as production increased. Additionally, we recognized $4,049 of write-downs of certain inventory items within our Michigan business and recognized lower margins across our wholesale operations due to pricing pressure and a shift in product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General and administrative expenses increased by $15,860, or 19%, during the nine months ended September 30, 2022, as compared to the nine months ended September 30, 2021. The increase was primarily related to:</w:t>
      </w:r>
    </w:p>
    <w:p>
      <w:pPr>
        <w:spacing w:after="0" w:line="116" w:lineRule="exact"/>
        <w:rPr>
          <w:sz w:val="20"/>
          <w:szCs w:val="20"/>
          <w:color w:val="auto"/>
        </w:rPr>
      </w:pPr>
    </w:p>
    <w:p>
      <w:pPr>
        <w:ind w:left="660" w:hanging="328"/>
        <w:spacing w:after="0" w:line="342" w:lineRule="auto"/>
        <w:tabs>
          <w:tab w:leader="none" w:pos="655"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a $9,452 increase in compensation expense, including $3,360 higher equity-based compensation expense, resulting from higher headcount of approximately 1,900 as of September 30, 2022 compared to approximately 1,400 as of September 30, 2021 to support our expanded operations;</w:t>
      </w:r>
    </w:p>
    <w:p>
      <w:pPr>
        <w:spacing w:after="0" w:line="69" w:lineRule="exact"/>
        <w:rPr>
          <w:rFonts w:ascii="Arial" w:cs="Arial" w:eastAsia="Arial" w:hAnsi="Arial"/>
          <w:sz w:val="16"/>
          <w:szCs w:val="16"/>
          <w:i w:val="1"/>
          <w:iCs w:val="1"/>
          <w:color w:val="auto"/>
        </w:rPr>
      </w:pPr>
    </w:p>
    <w:p>
      <w:pPr>
        <w:ind w:left="660" w:right="20" w:hanging="328"/>
        <w:spacing w:after="0" w:line="342"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 $1,704 expense related to the write-off of certain previously capitalized costs associated with the New York transaction (refer to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Operations–Legal Matters–MedMen NY Litigation” </w:t>
      </w:r>
      <w:r>
        <w:rPr>
          <w:rFonts w:ascii="Arial" w:cs="Arial" w:eastAsia="Arial" w:hAnsi="Arial"/>
          <w:sz w:val="16"/>
          <w:szCs w:val="16"/>
          <w:color w:val="auto"/>
        </w:rPr>
        <w:t>for additional information);</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$1,652 increase in depreciation and amortization expense due to $1,075 of incremental depreciation expense due to a larger average balance of fixed assets in service and $577 of incremental amortization of licenses;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$1,158 of higher insurance expenses;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$628 increase in professional services, driven by higher legal expenses for ongoing litigation matters incurred during the first quarter of the current year, partially offset by the absence of a $2,000 termination fee associated with an MSA that was incurred in the prior year following our IPO;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$559 increase in rent and utilities and related overhead expenses to support the expansion of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Expense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nine months ended September 30, 2022, we recognized an expense of $5,000 related to the settlement of a stockholder dispute (refer to </w:t>
      </w:r>
      <w:r>
        <w:rPr>
          <w:rFonts w:ascii="Arial" w:cs="Arial" w:eastAsia="Arial" w:hAnsi="Arial"/>
          <w:sz w:val="18"/>
          <w:szCs w:val="18"/>
          <w:i w:val="1"/>
          <w:iCs w:val="1"/>
          <w:color w:val="auto"/>
        </w:rPr>
        <w:t xml:space="preserve">“Management’s Discussion and Analysis of Financial Condition and Results of Operations–Legal Matters–Stockholder Dispute” </w:t>
      </w:r>
      <w:r>
        <w:rPr>
          <w:rFonts w:ascii="Arial" w:cs="Arial" w:eastAsia="Arial" w:hAnsi="Arial"/>
          <w:sz w:val="18"/>
          <w:szCs w:val="18"/>
          <w:color w:val="auto"/>
        </w:rPr>
        <w:t>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During the nine months ended September 30, 2021, we recognized a settlement expense of $36,511 for a matter related to two property purchase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Interest expense decreased by $32,890, or 58%, during the nine months ended September 30, 2022, as compared to the nine months ended September 30, 2021. The decrease was primarily due to the absence of $30,967 of non-cash interest expense that we incurred in the prior year related to our IPO. Additionally, in the prior year we recognized a $6,637 net loss on extinguishment of previously outstanding debt. The absence of these amounts was partially offset by higher cash interest expense in the current year associated with additional borrowings under our credit facility, as well as a $2,180 loss on extinguishment recognized in the current year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for further information). During the nine months ended September 30, 2022, the Company had a weighted-average outstanding debt balance of $272,277 with a weighted-average interest rate of 9.5%, excluding finance leases, compared to a weighted-average debt balance of $203,692 during nine months ended September 30, 2021 with a weighted-average interest rate of 10.6%.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was $29,757, or 32.0%, of gross profit, during the nine months ended September 30, 2022, as compared to $33,278, or 31.7%, of gross profit, during the nine months ended September 30, 2021. The effective tax rate on gross profit for the nine months ended September 30, 2022 was impacted by higher penalties and interest due on federal tax payments in the current year as compared to the prior year, but benefited from higher relative cost of goods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Gross Profit for the three and nine months ended September 30,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3160" w:type="dxa"/>
            <w:vAlign w:val="bottom"/>
            <w:gridSpan w:val="4"/>
          </w:tcPr>
          <w:p>
            <w:pPr>
              <w:jc w:val="right"/>
              <w:ind w:right="931"/>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402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00" w:type="dxa"/>
            <w:vAlign w:val="bottom"/>
          </w:tcPr>
          <w:p>
            <w:pPr>
              <w:spacing w:after="0"/>
              <w:rPr>
                <w:sz w:val="15"/>
                <w:szCs w:val="15"/>
                <w:color w:val="auto"/>
              </w:rPr>
            </w:pPr>
          </w:p>
        </w:tc>
        <w:tc>
          <w:tcPr>
            <w:tcW w:w="1320" w:type="dxa"/>
            <w:vAlign w:val="bottom"/>
          </w:tcPr>
          <w:p>
            <w:pPr>
              <w:jc w:val="right"/>
              <w:ind w:right="59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ind w:right="591"/>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59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611"/>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36,636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40,954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93,051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105,137</w:t>
            </w:r>
          </w:p>
        </w:tc>
      </w:tr>
      <w:tr>
        <w:trPr>
          <w:trHeight w:val="176"/>
        </w:trPr>
        <w:tc>
          <w:tcPr>
            <w:tcW w:w="20" w:type="dxa"/>
            <w:vAlign w:val="bottom"/>
          </w:tcPr>
          <w:p>
            <w:pPr>
              <w:spacing w:after="0"/>
              <w:rPr>
                <w:sz w:val="15"/>
                <w:szCs w:val="15"/>
                <w:color w:val="auto"/>
              </w:rPr>
            </w:pPr>
          </w:p>
        </w:tc>
        <w:tc>
          <w:tcPr>
            <w:tcW w:w="4020" w:type="dxa"/>
            <w:vAlign w:val="bottom"/>
            <w:gridSpan w:val="2"/>
          </w:tcPr>
          <w:p>
            <w:pPr>
              <w:ind w:left="160"/>
              <w:spacing w:after="0" w:line="176" w:lineRule="exact"/>
              <w:rPr>
                <w:sz w:val="20"/>
                <w:szCs w:val="20"/>
                <w:color w:val="auto"/>
              </w:rPr>
            </w:pPr>
            <w:r>
              <w:rPr>
                <w:rFonts w:ascii="Arial" w:cs="Arial" w:eastAsia="Arial" w:hAnsi="Arial"/>
                <w:sz w:val="18"/>
                <w:szCs w:val="18"/>
                <w:color w:val="auto"/>
                <w:w w:val="98"/>
              </w:rPr>
              <w:t>Depreciation and amortization included in cost of</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020" w:type="dxa"/>
            <w:vAlign w:val="bottom"/>
            <w:gridSpan w:val="2"/>
          </w:tcPr>
          <w:p>
            <w:pPr>
              <w:ind w:left="340"/>
              <w:spacing w:after="0"/>
              <w:rPr>
                <w:sz w:val="20"/>
                <w:szCs w:val="20"/>
                <w:color w:val="auto"/>
              </w:rPr>
            </w:pPr>
            <w:r>
              <w:rPr>
                <w:rFonts w:ascii="Arial" w:cs="Arial" w:eastAsia="Arial" w:hAnsi="Arial"/>
                <w:sz w:val="18"/>
                <w:szCs w:val="18"/>
                <w:color w:val="auto"/>
              </w:rPr>
              <w:t>goods sold</w:t>
            </w: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4,722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11,618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6,612</w:t>
            </w:r>
          </w:p>
        </w:tc>
      </w:tr>
      <w:tr>
        <w:trPr>
          <w:trHeight w:val="176"/>
        </w:trPr>
        <w:tc>
          <w:tcPr>
            <w:tcW w:w="20" w:type="dxa"/>
            <w:vAlign w:val="bottom"/>
            <w:shd w:val="clear" w:color="auto" w:fill="CCEEFF"/>
          </w:tcPr>
          <w:p>
            <w:pPr>
              <w:spacing w:after="0"/>
              <w:rPr>
                <w:sz w:val="15"/>
                <w:szCs w:val="15"/>
                <w:color w:val="auto"/>
              </w:rPr>
            </w:pPr>
          </w:p>
        </w:tc>
        <w:tc>
          <w:tcPr>
            <w:tcW w:w="402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Equity-based compensation included in cost of</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goods sold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2,629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9,791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349</w:t>
            </w:r>
          </w:p>
        </w:tc>
      </w:tr>
      <w:tr>
        <w:trPr>
          <w:trHeight w:val="230"/>
        </w:trPr>
        <w:tc>
          <w:tcPr>
            <w:tcW w:w="20" w:type="dxa"/>
            <w:vAlign w:val="bottom"/>
          </w:tcPr>
          <w:p>
            <w:pPr>
              <w:spacing w:after="0"/>
              <w:rPr>
                <w:sz w:val="19"/>
                <w:szCs w:val="19"/>
                <w:color w:val="auto"/>
              </w:rPr>
            </w:pPr>
          </w:p>
        </w:tc>
        <w:tc>
          <w:tcPr>
            <w:tcW w:w="402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Start-up costs included in cost of goods sold</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10,781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Non-cash inventory adjustments</w:t>
            </w:r>
            <w:r>
              <w:rPr>
                <w:rFonts w:ascii="Arial" w:cs="Arial" w:eastAsia="Arial" w:hAnsi="Arial"/>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3,799</w:t>
            </w: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50,646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43,701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131,606</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115,897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Adjusted Gross Margin</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45.5 %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46.3 %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44.8 %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47.5 %</w:t>
            </w:r>
          </w:p>
        </w:tc>
      </w:tr>
    </w:tbl>
    <w:p>
      <w:pPr>
        <w:spacing w:after="0" w:line="247" w:lineRule="exact"/>
        <w:rPr>
          <w:sz w:val="20"/>
          <w:szCs w:val="20"/>
          <w:color w:val="auto"/>
        </w:rPr>
      </w:pPr>
    </w:p>
    <w:p>
      <w:pPr>
        <w:ind w:left="340" w:hanging="332"/>
        <w:spacing w:after="0" w:line="223" w:lineRule="auto"/>
        <w:tabs>
          <w:tab w:leader="none" w:pos="32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90"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26"/>
        </w:numPr>
        <w:rPr>
          <w:rFonts w:ascii="Arial" w:cs="Arial" w:eastAsia="Arial" w:hAnsi="Arial"/>
          <w:sz w:val="21"/>
          <w:szCs w:val="21"/>
          <w:color w:val="auto"/>
          <w:vertAlign w:val="superscript"/>
        </w:rPr>
      </w:pPr>
      <w:r>
        <w:rPr>
          <w:rFonts w:ascii="Arial" w:cs="Arial" w:eastAsia="Arial" w:hAnsi="Arial"/>
          <w:sz w:val="16"/>
          <w:szCs w:val="16"/>
          <w:color w:val="auto"/>
        </w:rPr>
        <w:t>Primarily consists of write-offs of expired products and obsolete packaging. Additionally, during the third quarter of 2022, we recognized a loss of $4,049 resulting from net realizable value adjustments related to certain inventory items in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for the three and nine months ended September 30,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3160" w:type="dxa"/>
            <w:vAlign w:val="bottom"/>
            <w:gridSpan w:val="4"/>
          </w:tcPr>
          <w:p>
            <w:pPr>
              <w:jc w:val="right"/>
              <w:ind w:right="93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380" w:type="dxa"/>
            <w:vAlign w:val="bottom"/>
          </w:tcPr>
          <w:p>
            <w:pPr>
              <w:spacing w:after="0"/>
              <w:rPr>
                <w:sz w:val="15"/>
                <w:szCs w:val="15"/>
                <w:color w:val="auto"/>
              </w:rPr>
            </w:pPr>
          </w:p>
        </w:tc>
        <w:tc>
          <w:tcPr>
            <w:tcW w:w="1340" w:type="dxa"/>
            <w:vAlign w:val="bottom"/>
          </w:tcPr>
          <w:p>
            <w:pPr>
              <w:jc w:val="right"/>
              <w:ind w:right="59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jc w:val="right"/>
              <w:ind w:right="591"/>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59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right"/>
              <w:ind w:right="611"/>
              <w:spacing w:after="0" w:line="15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(16,862)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(13,026)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(65,849)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(106,146)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11,178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12,307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29,757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33,278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8,434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12,376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23,711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56,601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7,994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20,679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Non-cash inventory adjustments</w:t>
            </w:r>
            <w:r>
              <w:rPr>
                <w:rFonts w:ascii="Arial" w:cs="Arial" w:eastAsia="Arial" w:hAnsi="Arial"/>
                <w:sz w:val="23"/>
                <w:szCs w:val="23"/>
                <w:color w:val="auto"/>
                <w:vertAlign w:val="superscript"/>
              </w:rPr>
              <w:t>(1)</w:t>
            </w: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6,365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Equity-based compensation</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6,382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19,936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Start-up costs</w:t>
            </w:r>
            <w:r>
              <w:rPr>
                <w:rFonts w:ascii="Arial" w:cs="Arial" w:eastAsia="Arial" w:hAnsi="Arial"/>
                <w:sz w:val="23"/>
                <w:szCs w:val="23"/>
                <w:color w:val="auto"/>
                <w:vertAlign w:val="superscript"/>
              </w:rPr>
              <w:t>(2)</w:t>
            </w:r>
          </w:p>
        </w:tc>
        <w:tc>
          <w:tcPr>
            <w:tcW w:w="380" w:type="dxa"/>
            <w:vAlign w:val="bottom"/>
          </w:tcPr>
          <w:p>
            <w:pPr>
              <w:spacing w:after="0"/>
              <w:rPr>
                <w:sz w:val="19"/>
                <w:szCs w:val="19"/>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5,906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Start-up costs included in cost of goods sold</w:t>
            </w:r>
            <w:r>
              <w:rPr>
                <w:rFonts w:ascii="Arial" w:cs="Arial" w:eastAsia="Arial" w:hAnsi="Arial"/>
                <w:sz w:val="23"/>
                <w:szCs w:val="23"/>
                <w:color w:val="auto"/>
                <w:vertAlign w:val="superscript"/>
              </w:rPr>
              <w:t>(3)</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10,781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gridSpan w:val="2"/>
          </w:tcPr>
          <w:p>
            <w:pPr>
              <w:ind w:left="80"/>
              <w:spacing w:after="0" w:line="176" w:lineRule="exact"/>
              <w:rPr>
                <w:sz w:val="20"/>
                <w:szCs w:val="20"/>
                <w:color w:val="auto"/>
              </w:rPr>
            </w:pPr>
            <w:r>
              <w:rPr>
                <w:rFonts w:ascii="Arial" w:cs="Arial" w:eastAsia="Arial" w:hAnsi="Arial"/>
                <w:sz w:val="18"/>
                <w:szCs w:val="18"/>
                <w:color w:val="auto"/>
              </w:rPr>
              <w:t>Transaction-related and other non-recurring</w:t>
            </w: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2"/>
          </w:tcPr>
          <w:p>
            <w:pPr>
              <w:ind w:left="240"/>
              <w:spacing w:after="0" w:line="243" w:lineRule="exact"/>
              <w:rPr>
                <w:sz w:val="20"/>
                <w:szCs w:val="20"/>
                <w:color w:val="auto"/>
              </w:rPr>
            </w:pPr>
            <w:r>
              <w:rPr>
                <w:rFonts w:ascii="Arial" w:cs="Arial" w:eastAsia="Arial" w:hAnsi="Arial"/>
                <w:sz w:val="18"/>
                <w:szCs w:val="18"/>
                <w:color w:val="auto"/>
              </w:rPr>
              <w:t>expenses</w:t>
            </w:r>
            <w:r>
              <w:rPr>
                <w:rFonts w:ascii="Arial" w:cs="Arial" w:eastAsia="Arial" w:hAnsi="Arial"/>
                <w:sz w:val="23"/>
                <w:szCs w:val="23"/>
                <w:color w:val="auto"/>
                <w:vertAlign w:val="superscript"/>
              </w:rPr>
              <w:t>(4)</w:t>
            </w:r>
          </w:p>
        </w:tc>
        <w:tc>
          <w:tcPr>
            <w:tcW w:w="380" w:type="dxa"/>
            <w:vAlign w:val="bottom"/>
          </w:tcPr>
          <w:p>
            <w:pPr>
              <w:spacing w:after="0"/>
              <w:rPr>
                <w:sz w:val="21"/>
                <w:szCs w:val="21"/>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9,775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(Gain) loss on sale of assets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2"/>
          </w:tcPr>
          <w:p>
            <w:pPr>
              <w:ind w:left="120"/>
              <w:spacing w:after="0"/>
              <w:rPr>
                <w:sz w:val="20"/>
                <w:szCs w:val="20"/>
                <w:color w:val="auto"/>
              </w:rPr>
            </w:pPr>
            <w:r>
              <w:rPr>
                <w:rFonts w:ascii="Arial" w:cs="Arial" w:eastAsia="Arial" w:hAnsi="Arial"/>
                <w:sz w:val="18"/>
                <w:szCs w:val="18"/>
                <w:color w:val="auto"/>
              </w:rPr>
              <w:t>Litigation settlement</w:t>
            </w:r>
          </w:p>
        </w:tc>
        <w:tc>
          <w:tcPr>
            <w:tcW w:w="38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36,511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27,770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65,031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59,670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i w:val="1"/>
                <w:iCs w:val="1"/>
                <w:color w:val="auto"/>
              </w:rPr>
              <w:t>Adjusted EBITDA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i w:val="1"/>
                <w:iCs w:val="1"/>
                <w:color w:val="auto"/>
              </w:rPr>
              <w:t>25.0 %</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24.9 %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22.1 %</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24.5 %</w:t>
            </w: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340" w:hanging="332"/>
        <w:spacing w:after="0" w:line="223" w:lineRule="auto"/>
        <w:tabs>
          <w:tab w:leader="none" w:pos="32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Primarily consists of write-offs of expired products and obsolete packaging. Additionally, during the third quarter of 2022, we recognized a loss of $4,049 resulting from net realizable value adjustments related to certain inventory items in Michigan.</w:t>
      </w:r>
    </w:p>
    <w:p>
      <w:pPr>
        <w:spacing w:after="0" w:line="9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One-time costs associated with acquiring real estate, obtaining licenses and permits, and other costs incurred before commencement of operations at certain locations.</w:t>
      </w:r>
    </w:p>
    <w:p>
      <w:pPr>
        <w:spacing w:after="0" w:line="104" w:lineRule="exact"/>
        <w:rPr>
          <w:rFonts w:ascii="Arial" w:cs="Arial" w:eastAsia="Arial" w:hAnsi="Arial"/>
          <w:sz w:val="18"/>
          <w:szCs w:val="18"/>
          <w:color w:val="auto"/>
          <w:vertAlign w:val="superscript"/>
        </w:rPr>
      </w:pPr>
    </w:p>
    <w:p>
      <w:pPr>
        <w:ind w:left="340" w:hanging="332"/>
        <w:spacing w:after="0" w:line="223" w:lineRule="auto"/>
        <w:tabs>
          <w:tab w:leader="none" w:pos="32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104"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Legal and professional fees associated with litigation matters, potential acquisitions, and other regulatory matters and other non-recurring expenses. The prior year includes expenses related to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we have used private financing as a source of liquidity for short-term working capital needs and general corporate purposes. In May 2021, we completed an IPO of shares of our Class A common stock through which we raised aggregate net proceeds of approximately $86,065, after deducting underwriting discounts and commissions and certain direct offering expenses paid by us, and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w:t>
      </w:r>
    </w:p>
    <w:p>
      <w:pPr>
        <w:spacing w:after="0" w:line="1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2022 and December 31, 2021, we had total current liabilities of $137,496 and $117,395, respectively, and total current assets of $219,092 and $258,012, respectively, which includes cash and cash equivalents of $91,393 and $155,481, respectively, to meet our current obligations. As of September 30, 2022, we had working capital of $81,596, compared to $140,617 as of December 31, 2021.</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Approximately 95% and 97% of our cash and cash equivalents balance as of September 30, 2022 and December 31, 2021,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reflected in the Financial Statements, we had an accumulated deficit as of September 30, 2022 and December 31, 2021, as well as a net loss for the three and nine months ended September 30, 2022 and 2021, and negative cash flows from operating activities during the nine months ended September 30, 2022 and 2021,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w:t>
      </w:r>
    </w:p>
    <w:p>
      <w:pPr>
        <w:spacing w:after="0" w:line="1" w:lineRule="exact"/>
        <w:rPr>
          <w:sz w:val="20"/>
          <w:szCs w:val="20"/>
          <w:color w:val="auto"/>
        </w:rPr>
      </w:pPr>
    </w:p>
    <w:p>
      <w:pPr>
        <w:jc w:val="both"/>
        <w:ind w:firstLine="8"/>
        <w:spacing w:after="0" w:line="295" w:lineRule="auto"/>
        <w:tabs>
          <w:tab w:leader="none" w:pos="2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August 2021, we entered into a credit facility (the “2021 Credit Facility”) which provided for an initial term loan of $210,000. We had the ability to request an increase in the 2021 Credit Facility up to $275,000 if the existing lenders (or other lenders) agreed to provide such additional term loans. During the second quarter of 2022, we borrowed an additional $65,000 of incremental term loans through this expansion feature (the “2022 Loans”) for total borrowings of $275,000 outstanding as of September 30, 2022. The 2021 Credit Facility matures on August 27, 2025 and does not require scheduled principal amortization payments. Borrowings under the 2021 Credit Facility bear interest at a rate of 9.5% per annum, payable quarterly. The initial proceeds from the 2021 Credit Facility were used, in part, to prepay certain then-outstanding debt obligations and, together with the 2022 Loans, fund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capital and general corporate matters, including, but not limited to, growth investments, acquisitions, capital expenditures, and other strategic initiatives.</w:t>
      </w:r>
    </w:p>
    <w:p>
      <w:pPr>
        <w:spacing w:after="0" w:line="1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incurred additional financing costs of $7,606 related to the 2022 Loans, which includes warrants issued to certain lenders to acquire 3,130 shares of Class A common stock that had a fair value of $2,639 at issuance (refer to Note 12, “Stockholders’ Equity,” in the Financial Statements for additional information).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the nine months ended September 30, 2022, comprised of the write-off of $337 related to the lender’s initial term loan and $1,843 related to the lender’s new loan, which included the estimated fair value of the warrants issued to the lender.</w:t>
      </w:r>
    </w:p>
    <w:p>
      <w:pPr>
        <w:spacing w:after="0" w:line="1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in their discretion.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2.50:1.00. The Company has a customary equity cure right for each of these financial covenants. The Company is in compliance with these covenants as of September 30, 2022. Refer to Note 11, “Debt,” in the Financial Statements for additional information.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4"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810"/>
              <w:spacing w:after="0" w:line="169"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810"/>
              <w:spacing w:after="0" w:line="169"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2"/>
              </w:rPr>
              <w:t>(22,285)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92"/>
              </w:rPr>
              <w:t>(22,294)</w:t>
            </w:r>
          </w:p>
        </w:tc>
      </w:tr>
      <w:tr>
        <w:trPr>
          <w:trHeight w:val="257"/>
        </w:trPr>
        <w:tc>
          <w:tcPr>
            <w:tcW w:w="20" w:type="dxa"/>
            <w:vAlign w:val="bottom"/>
          </w:tcPr>
          <w:p>
            <w:pPr>
              <w:spacing w:after="0"/>
              <w:rPr>
                <w:sz w:val="22"/>
                <w:szCs w:val="22"/>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rPr>
                <w:sz w:val="22"/>
                <w:szCs w:val="22"/>
                <w:color w:val="auto"/>
              </w:rPr>
            </w:pPr>
          </w:p>
        </w:tc>
        <w:tc>
          <w:tcPr>
            <w:tcW w:w="1660" w:type="dxa"/>
            <w:vAlign w:val="bottom"/>
          </w:tcPr>
          <w:p>
            <w:pPr>
              <w:jc w:val="center"/>
              <w:ind w:left="910"/>
              <w:spacing w:after="0"/>
              <w:rPr>
                <w:sz w:val="20"/>
                <w:szCs w:val="20"/>
                <w:color w:val="auto"/>
              </w:rPr>
            </w:pPr>
            <w:r>
              <w:rPr>
                <w:rFonts w:ascii="Arial" w:cs="Arial" w:eastAsia="Arial" w:hAnsi="Arial"/>
                <w:sz w:val="18"/>
                <w:szCs w:val="18"/>
                <w:color w:val="auto"/>
                <w:w w:val="92"/>
              </w:rPr>
              <w:t>(94,551)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ind w:left="1020"/>
              <w:spacing w:after="0"/>
              <w:rPr>
                <w:sz w:val="20"/>
                <w:szCs w:val="20"/>
                <w:color w:val="auto"/>
              </w:rPr>
            </w:pPr>
            <w:r>
              <w:rPr>
                <w:rFonts w:ascii="Arial" w:cs="Arial" w:eastAsia="Arial" w:hAnsi="Arial"/>
                <w:sz w:val="18"/>
                <w:szCs w:val="18"/>
                <w:color w:val="auto"/>
                <w:w w:val="92"/>
              </w:rPr>
              <w:t>(85,558)</w:t>
            </w:r>
          </w:p>
        </w:tc>
      </w:tr>
      <w:tr>
        <w:trPr>
          <w:trHeight w:val="256"/>
        </w:trPr>
        <w:tc>
          <w:tcPr>
            <w:tcW w:w="20" w:type="dxa"/>
            <w:vAlign w:val="bottom"/>
            <w:shd w:val="clear" w:color="auto" w:fill="CCEEFF"/>
          </w:tcPr>
          <w:p>
            <w:pPr>
              <w:spacing w:after="0"/>
              <w:rPr>
                <w:sz w:val="22"/>
                <w:szCs w:val="22"/>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90"/>
              </w:rPr>
              <w:t>52,748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8"/>
              </w:rPr>
              <w:t>254,265</w:t>
            </w: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operating activities decreased slightly during the nine months ended September 30, 2022, as compared to the nine months ended September 30, 2021, primarily driven by the timing of payments to suppliers and vendors, the timing and amount of income tax payments, and the timing of other working capital payments.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increased by $8,993 during the nine months ended September 30, 2022, as compared to the nine months ended September 30, 2021. The increase was primarily due to the purchase of intangible assets, including the first $15,000 payment made under the Story of PA research collaboration agreement, and higher repayments of sellers’ notes related to prior year acquisitions, partially offset by cash paid for proceeds received from the sale of assets and lower cash investments in capital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decreased by $201,517 during the nine months ended September 30, 2022, as compared to the nine months ended September 30, 2021. The decrease was primarily due to lower proceeds from the issuance of debt, net of repayments, in the current year and the absence of net proceeds received from our IPO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material future contractual obligations as of September 30,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80" w:type="dxa"/>
            <w:vAlign w:val="bottom"/>
            <w:gridSpan w:val="8"/>
          </w:tcPr>
          <w:p>
            <w:pPr>
              <w:ind w:left="920"/>
              <w:spacing w:after="0"/>
              <w:rPr>
                <w:sz w:val="20"/>
                <w:szCs w:val="20"/>
                <w:color w:val="auto"/>
              </w:rPr>
            </w:pPr>
            <w:r>
              <w:rPr>
                <w:rFonts w:ascii="Arial" w:cs="Arial" w:eastAsia="Arial" w:hAnsi="Arial"/>
                <w:sz w:val="18"/>
                <w:szCs w:val="18"/>
                <w:b w:val="1"/>
                <w:bCs w:val="1"/>
                <w:color w:val="auto"/>
              </w:rPr>
              <w:t>Commitments Due by Period</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Remainder of</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9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17"/>
                <w:szCs w:val="17"/>
                <w:color w:val="auto"/>
              </w:rPr>
            </w:pPr>
          </w:p>
        </w:tc>
        <w:tc>
          <w:tcPr>
            <w:tcW w:w="116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c>
          <w:tcPr>
            <w:tcW w:w="1260" w:type="dxa"/>
            <w:vAlign w:val="bottom"/>
          </w:tcPr>
          <w:p>
            <w:pPr>
              <w:jc w:val="right"/>
              <w:ind w:right="430"/>
              <w:spacing w:after="0" w:line="202"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5"/>
              </w:rPr>
              <w:t>2023 - 2024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w w:val="95"/>
              </w:rPr>
              <w:t>2025 - 2026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Thereafter</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Term notes</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Arial" w:cs="Arial" w:eastAsia="Arial" w:hAnsi="Arial"/>
                <w:sz w:val="18"/>
                <w:szCs w:val="18"/>
                <w:color w:val="auto"/>
              </w:rPr>
              <w:t>Fixed interest related to term notes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75,941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Arial" w:cs="Arial" w:eastAsia="Arial" w:hAnsi="Arial"/>
                <w:sz w:val="18"/>
                <w:szCs w:val="18"/>
                <w:color w:val="auto"/>
              </w:rPr>
              <w:t>Finance arrangements</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6,811</w:t>
            </w: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478,227</w:t>
            </w:r>
          </w:p>
        </w:tc>
      </w:tr>
      <w:tr>
        <w:trPr>
          <w:trHeight w:val="229"/>
        </w:trPr>
        <w:tc>
          <w:tcPr>
            <w:tcW w:w="20" w:type="dxa"/>
            <w:vAlign w:val="bottom"/>
          </w:tcPr>
          <w:p>
            <w:pPr>
              <w:spacing w:after="0"/>
              <w:rPr>
                <w:sz w:val="19"/>
                <w:szCs w:val="19"/>
                <w:color w:val="auto"/>
              </w:rPr>
            </w:pPr>
          </w:p>
        </w:tc>
        <w:tc>
          <w:tcPr>
            <w:tcW w:w="3920" w:type="dxa"/>
            <w:vAlign w:val="bottom"/>
            <w:gridSpan w:val="3"/>
          </w:tcPr>
          <w:p>
            <w:pPr>
              <w:spacing w:after="0" w:line="230" w:lineRule="exact"/>
              <w:rPr>
                <w:sz w:val="20"/>
                <w:szCs w:val="20"/>
                <w:color w:val="auto"/>
              </w:rPr>
            </w:pPr>
            <w:r>
              <w:rPr>
                <w:rFonts w:ascii="Arial" w:cs="Arial" w:eastAsia="Arial" w:hAnsi="Arial"/>
                <w:sz w:val="18"/>
                <w:szCs w:val="18"/>
                <w:color w:val="auto"/>
              </w:rPr>
              <w:t>Finance leases</w:t>
            </w:r>
            <w:r>
              <w:rPr>
                <w:rFonts w:ascii="Arial" w:cs="Arial" w:eastAsia="Arial" w:hAnsi="Arial"/>
                <w:sz w:val="23"/>
                <w:szCs w:val="23"/>
                <w:color w:val="auto"/>
                <w:vertAlign w:val="superscript"/>
              </w:rPr>
              <w:t>(5)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92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Other commitments</w:t>
            </w:r>
            <w:r>
              <w:rPr>
                <w:rFonts w:ascii="Arial" w:cs="Arial" w:eastAsia="Arial" w:hAnsi="Arial"/>
                <w:sz w:val="23"/>
                <w:szCs w:val="23"/>
                <w:color w:val="auto"/>
                <w:vertAlign w:val="superscript"/>
              </w:rPr>
              <w:t>(6)</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1,043,109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161,454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380,319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485,038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Principal payments due under our term notes payable. Refer to Note 11, “Debt”, in the Financial Statements for additional information.</w:t>
      </w:r>
    </w:p>
    <w:p>
      <w:pPr>
        <w:spacing w:after="0" w:line="90"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Represents fixed interest rate payments on borrowings under the 2021 Credit Facility based on the principal outstanding at September 30, 2022. Interest payments could fluctuate based on prepayments or additional amounts borrowed.</w:t>
      </w:r>
    </w:p>
    <w:p>
      <w:pPr>
        <w:spacing w:after="0" w:line="104" w:lineRule="exact"/>
        <w:rPr>
          <w:rFonts w:ascii="Arial" w:cs="Arial" w:eastAsia="Arial" w:hAnsi="Arial"/>
          <w:sz w:val="21"/>
          <w:szCs w:val="21"/>
          <w:color w:val="auto"/>
          <w:vertAlign w:val="superscript"/>
        </w:rPr>
      </w:pPr>
    </w:p>
    <w:p>
      <w:pPr>
        <w:jc w:val="both"/>
        <w:ind w:left="340" w:hanging="332"/>
        <w:spacing w:after="0" w:line="238"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 This amount excludes the potential earn-out payment related to the OPA acquisition that has an estimated fair value of $4,842 at September 30, 2022 and is dependent upon the commencement of adult-use cannabis sales in Ohio. Refer to Note 4, “Acquisitions,” in the Financial Statements for additional information.</w:t>
      </w:r>
    </w:p>
    <w:p>
      <w:pPr>
        <w:spacing w:after="0" w:line="90"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under non-cancelable operating leases that did not meet the criteria to qualify for sale-leaseback treatment. Refer to Note 10, “Leases”, in the Financial Statements for additional information.</w:t>
      </w:r>
    </w:p>
    <w:p>
      <w:pPr>
        <w:spacing w:after="0" w:line="91"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under non-cancelable leases. Refer to Note 10, “Leases”, in the Financial Statements for additional information.</w:t>
      </w:r>
    </w:p>
    <w:p>
      <w:pPr>
        <w:spacing w:after="0" w:line="91" w:lineRule="exact"/>
        <w:rPr>
          <w:rFonts w:ascii="Arial" w:cs="Arial" w:eastAsia="Arial" w:hAnsi="Arial"/>
          <w:sz w:val="21"/>
          <w:szCs w:val="21"/>
          <w:color w:val="auto"/>
          <w:vertAlign w:val="superscript"/>
        </w:rPr>
      </w:pPr>
    </w:p>
    <w:p>
      <w:pPr>
        <w:jc w:val="both"/>
        <w:ind w:left="340" w:hanging="332"/>
        <w:spacing w:after="0" w:line="235"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Related to the Story of PA acquisition. Refer to Note 4, “Acquisitions,” in the Financial Statements for additional information. We expect to fund up to an additional $10,000 over the next ten years under the research collaboration agreement. Since the timing of the payments may vary, this amount has been excluded from the table above.</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Additionally, in conjunction with the OCC acquisition (see Note 4, “Acquisitions,” in the Financial Statements) in December 2021, the Company entered into a supply agreement with a producer and supplier of medical marijuana products in Ohio (the “Ohio Supply Agreement”) with an initial expiration date of August 2028. Under the Ohio Supply Agreement, the Company will purchase products from the supplier that results in 7.5% of the Company’s monthly gross sales of all products in our Ohio dispensaries for the first five years, and 5%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remaining term. The Company can establish the selling price of the products and the purchases are made at the lowest then-prevailing wholesale market price of products sold by the supplier to other dispensaries in Ohio. Such purchases have been excluded from the table above, as purchases are variable based on gross sales of the respective dispensary.</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filing, we do not have any off-balance sheet arrangements, as defined by applicable regulations of the United States Securities and Exchange Commission, that have, or are reasonably likely to have, a current or future effect on the results of our operations or financial condition, including, and without limitation, such considerations as liquidity and capital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anticipate capital expenditures, net of tenant improvement allowances, of approximately $15,000 during the remainder of 2022. Changes to this estimate could result from the timing of various project start dates, which are subject to local and regulatory approvals.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w:t>
      </w:r>
    </w:p>
    <w:p>
      <w:pPr>
        <w:spacing w:after="0" w:line="10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remainder of 2022, we expect to complete the second phase of expansion at our New Jersey cultivation facility, complete certain projects at our Illinois and Massachusetts cultivation facilities, and continue the build out of our Pennsylvania cultivation facility. We also anticipate the completion and opening of dispensaries in New Bedford, MA and Wayne, PA, along with the Century, MI dispensary that is expected to open in early 2023. Additionally, we anticipate certain general maintenance activities across our cultivation facilities and dispensary locations. Management expects to fund capital expenditures by utilizing cash flows from operations and reimbursements under tenant improvement allowances from sale leaseback transactions.</w:t>
      </w:r>
    </w:p>
    <w:p>
      <w:pPr>
        <w:spacing w:after="0" w:line="1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September 30, 2022, our construction in progress (“CIP”) balance was $35,260 and relates to capital spending on projects that were not yet complete. This balance includes: $12,064 related to the expansion of our New Jersey cultivation facility; $11,179 related to the build out of our Pennsylvania cultivation facility; $3,769 related to the build out of our New Bedford, Massachusetts retail location; $3,020 related to certain projects at our Illinois cultivation facility; $3,014 related to the build out of our Wayne and Scranton, Pennsylvania retail locations; $743 related to the kitchen and lab expansion at our Massachusetts cultivation facility; and $1,471 related to other projects at our dispensaries.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2022, a total of 9,994 restricted common shares had been issued under the equity incentive plan approved in 2020 (the “2020 Plan”), of which 642 were unvested as of September 30, 2022. Total unrecognized compensation cost related to the restricted common shares was $114 as of September 30, 2022, which is expected to be recognized over a weighted-average remaining period of 0.6 years.</w:t>
      </w:r>
    </w:p>
    <w:p>
      <w:pPr>
        <w:spacing w:after="0" w:line="1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awards, restricted stock units (“RSUs”), and other stock-based awards (collectively the “2021 Plan Awards”). As of September 30, 2022, there were 5,896 shares of Class A common stock available for grant for future equity-based compensation awards under the 2021 Plan.</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2022, the Company granted a total of 4,993 RSUs under the 2021 Plan. As of September 30, 2022, a total of 11,423 RSUs have been granted under the 2021 Plan, of which 6,437 are unvested as of September 30, 2022. Total unrecognized compensation cost related to the RSUs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$42,814 as of September 30, 2022, which is expected to be recognized over a weighted-average remaining period of 2.7 years. Additionally, during the nine months ended September 30, 2022 the Company granted a total of 2,374 options under the 2021 Plan, of which 2,125 are outstanding as of September 30, 2022 and none of which are exercisable. The outstanding options have a remaining weighted-average contractual life of 4.7 years as of September 30, 2022, and total unrecognized stock-based compensation expense related to unvested options was $3,081, which is expected to be recognized over a weighted-average remaining period of 3.6 years.</w:t>
      </w:r>
    </w:p>
    <w:p>
      <w:pPr>
        <w:spacing w:after="0" w:line="1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Total equity-based compensation expense was $6,032 and $3,993 during the three months ended September 30, 2022 and 2021, respectively, and $17,662 and $8,191 during the nine months ended September 30, 2022 and 2021, respectively. Of the total equity-based compensation expense, $2,279 and $7,517 was capitalized to inventory during the three and nine months ended September 30, 2022, respectively, and $1,406 was capitalized during each of the three and nine months ended September 30, 2021. As of September 30, 2022 and December 31, 2021, $2,278 and $4,814, respectively, remains capitalized in inventory. During the three and nine months ended September 30, 2022, we recognized $3,753 and $10,145, respectively, within “General and administrative expenses” on the unaudited Condensed Consolidated Statements of Operations in the Financial Statements and we recognized $2,891 and $10,053, respectively, within “Cost of goods sold.” During the three and nine months ended September 30, 2021, we recognized $2,587 and $6,785, respectively, within “General and administrative expenses” and we recognized $349 within “Cost of goods sold” during each of the three and nine months ended September 30, 2021. Refer to Note 13, “Equity-Based Compensation Expense,” in the Financial Statements for additional information.</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adopted an employee stock purchase plan (the “2021 ESPP”), pursuant to which 4,000 shares of Class A common stock are reserved for issuance thereunder, subject to certain adjustments and other terms. As of September 30, 2022, no shares have been issued under the 2021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2022, the Company sold and subsequently leased back one of its capital assets in New Jersey for total proceeds of $35,400, excluding transaction costs. The transaction met the criteria for sale leaseback treatment. The lease was recorded as an operating lease and resulted in a lease liability of $33,707 and an ROU asset of $29,107, which was recorded net of a $4,600 tenant improvement allowance</w:t>
      </w:r>
      <w:r>
        <w:rPr>
          <w:rFonts w:ascii="Arial" w:cs="Arial" w:eastAsia="Arial" w:hAnsi="Arial"/>
          <w:sz w:val="17"/>
          <w:szCs w:val="17"/>
          <w:color w:val="FF0000"/>
        </w:rPr>
        <w:t>.</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June 2022, the Company sold and subsequently leased back two of its capital assets in Pennsylvania for total proceeds of $3,825, excluding transaction costs. Each transaction met the criteria for sale leaseback treatment. The leases were recorded as operating leases and resulted in a total lease liability and ROU asset of $2,102. Each of the lease agreements provide for a capital expenditure allowance of up to $3,000. The rent payments due under each lease will increase by a percentage of the capital expenditure allowance as funding occurs, and, therefore, each lease will be reassessed and remeasured as a modification upon such funding. During the three months ended September 30, 2022, we received a total of $3,215 under the capital expenditure allowance that was recorded as a tenant improvement allowance and resulted in $1,663 of additional lease liabilities based on the modified lease terms and a net gain of $279 during the three and nine months ended September 30, 2022, which is included in “General and administrative expenses” on the unaudited Condensed Consolidated Statement of Operations in the Financial Statements.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10, “Leases,” in the Financial Statements for additional information regarding the Company’s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continues to be uncertainty around the COVID-19 pandemic (the “Pandemic”). The full impact of the Pandemic on our business will depend on factors such as the length of time of the Pandemic; government response at the federal, state, and local levels along with recommended actions from health authorities; the impact of new variants that may emerge; the longer-term impact of the Pandemic on the economy and consumer behavior; and the effect on our customers, employees, vendors, and other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continue to implement and evaluate actions to strengthen our financial position and support the continuity of our business and operations in the face of this Pandemic and other events. Although our operations have not been materially affected to date, the ultimate severity of the Pandemic and its impact on the economic environment remains uncertain. We continue to generate operating cash flows to meet our short-term liquidity needs.</w:t>
      </w:r>
    </w:p>
    <w:p>
      <w:pPr>
        <w:spacing w:after="0" w:line="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 Pandemic has not had a material impact on our results of operations to date, given the uncertainties associated with the Pandemic, we are unable to estimate the future impact of the Pandemic on our business, financial condition, results of operations, and/or cash flows in future periods. We believe we have sufficient liquidity available from cash and cash equivalents on hand of $91,393 as of September 30, 2022 to enable us to meet our working capital and other operating requirements, fund growth initiatives and capital expenditures, settle our liabilities, and pay scheduled interest payments on debt.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Dispute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May 28, 2021, Senvest Management, LLC, Hadron Capital (Cayman) LTD., and Measure8 Venture Partners, LLC (collectively, the “Claimants”), as former holders of convertible notes issued and sold by the Company (the “AWH Convertible Promissory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at that time, Abner Kurtin, before the American Arbitration Association. In their Arbitration Demand, the Claimants take issue with the April 22, 2021 amendment of the terms of the 2019 Convertible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 Convertible Promissory Notes and 2019 Convertible Note Purchase Agreement and the Amended Notes Consent was binding on all holders of the AWH Convertible Promissory Notes.</w:t>
      </w:r>
    </w:p>
    <w:p>
      <w:pPr>
        <w:spacing w:after="0" w:line="1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Mr. Kurtin, and the Claimants entered into a settlement agreement, dated April 29, 2022, whereby the Company agreed to pay the Claimants a total of $5,000. This amount is reflected in the Financial Statements within “Settlement expense” on the unaudited Condensed Consolidated Statements of Operations for the nine months ended September 30, 2022 and was paid in May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MedMen NY Litigation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MMNY, which investment would also be used to repay MMNY’s senior secured lender, if adult-use cannabis sales commenced in MMNY’s dispensaries.</w:t>
      </w:r>
    </w:p>
    <w:p>
      <w:pPr>
        <w:spacing w:after="0" w:line="19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receipt of such notice, on January 13, 2022, the Company filed a complaint against MedMen and others in the Commercial Division of the Supreme Court of the State of New York, requesting specific performance that the transactions contemplated by the Investment Agreement must move forward, and such other relief as the court may deem appropriate. On January 24, 2022, MedMen filed an answer and counterclaims against the Company. On February 14, 2022, the Company filed a first amended complaint, not only seeking specific performance but also damages related to MedMen’s breaches of the Investment Agreement. On that same day, the Company also filed a motion to dismiss the counterclaims. On March 7, 2022, MedMen filed an amended answer and counterclaims against the Company. On March 28, 2022, the Company moved to dismiss MedMen’s amended counterclaims. That motion remains pending.</w:t>
      </w:r>
    </w:p>
    <w:p>
      <w:pPr>
        <w:spacing w:after="0" w:line="1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10, 2022, the Company and MedMen signed a term sheet, pursuant to which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contemplated in the term sheet, upon closing, the Company would receive a 99.99% controlling interest of MMNY and the Company would pay MedMen $74,000, which reflects the original transaction consideration plus an additional $11,000 per the parties’ term sheet. The Company already paid $4,000 as a deposit.</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amended transaction terms contemplated in the term sheet also would have required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The Company has determined that MedMen cannot make or provide the representations and warranties MedMen would have been required to make as part of the contemplated transactions. Therefore, the Company no longer intends to consummate the contemplated transactions.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30, 2022, the Company filed a motion for leave to file a second amended complaint. The second amended complaint no longer seeks specific performance that MedMen be required to close the transactions contemplated by the Investment Agreement. The second amended complaint, however, continues to seek damages against MedMen, including, but not limited to, the return of the deposit, working capital advances, and capital expenditure advances paid to MMNY by the Company as well as other damages for MedMen’s failure to close the contemplated transactions. The motion remains pending. In addition, MedMen has notified the Company that MedMen anticipates seeking leave to file second amended counterclaims against the Company, but it has not yet done so.</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Company’s decision to no longer consummate the contemplated transactions, the Company expensed a total of $1,704 of capitalized costs, primarily consisting of build out costs or deposits that were incurred for certain locations. This write-off is included within “General and administrative expenses” on the unaudited Condensed Consolidated Statements of Operations in the Financial Statements for the three and nine months ended September 30, 2022 and within “Other” on the unaudited Condensed Consolidated Statements of Cash Flows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October 14, 2022, the Company acquired Marichron Pharma LLC, a medical cannabis processor in Ohio, for total consideration of approximately $2,750, consisting of cash consideration of $1,750, of which $1,500 was previously funded under a promissory note, and settlement of approximately $1,000 due under a working capital loan, subject to final adjustment. Refer to Note 6, “Notes Receivable,” in the Financial Statements for additional information regarding the promissory note and working capital loan.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accompanying Financial Statements are prepared in accordance with GAAP, which requires us to make certain estimates in the application of our accounting policies based on the best assumptions, judgments, and opinions of our management. The Company’s significant accounting policies are described in Note 2, “Basis of Presentation and Significant Accounting Policies,” in the Financial Statements.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and Recently Issued Accounting Pronouncements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about our recently adopted accounting standards and recently issued accounting standards not yet adopted, see Note 2, “Basis of Presentation and Significant Accounting Policies,” to the Financial Statements.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is an emerging growth company under federal securities laws and as such we are able to elect to follow scaled disclosure requirements for this filing, including an extended transition period for complying with new or revised accounting standards applicable to public companies.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incorporated by reference from subsections “Overview of Government Regulation,” “Compliance with Applicable State Laws in the United States,” and “State Regulation of Cannabis,” under Item 1., “Business,” of the Company’s Annual Report, as filed with the Securities and Exchange Commission and with the relevant Canadian securities regulatory authorities under its profile on SEDAR.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exposed in varying degrees to various market risks, including changes in interest rates, prices of raw materials, and other financial instrument related risks. There have been no significant changes related to market risk, including those relating to the COVID-19 pandemic, from the disclosures in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3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reflected in the Financial Statements, the Company had an accumulated deficit as of September 30, 2022 and December 31, 2021, as well as a net loss for the three and nine months ended September 30, 2022 and 2021, and negative cash flows from operating activities during the nine months ended September 30, 2022 and 2021, which are indicators that raise substantial doubt of our ability to continue as a going concern. Management believes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end of the period covered by this report, our Principal Executive Officers and Principal Financial Officer evaluated our disclosure controls and procedures, as such term is defined in Rule 13a-15(e) and 15d-15(e) of the Securities Exchange Act of 1934, as amended (the “Exchange Act”). Based upon that evaluation, our Principal Executive Officers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United States Securities and Exchange Commission and (2) accumulated and communicated to our management, including our Principal Executive Officers and Principal Financial Officer, to allow timely decisions regarding required disclosure.</w:t>
      </w:r>
    </w:p>
    <w:p>
      <w:pPr>
        <w:spacing w:after="0" w:line="1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described above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A discussion of our litigation matters occurring in the period covered by this report is found in </w:t>
      </w:r>
      <w:r>
        <w:rPr>
          <w:rFonts w:ascii="Arial" w:cs="Arial" w:eastAsia="Arial" w:hAnsi="Arial"/>
          <w:sz w:val="18"/>
          <w:szCs w:val="18"/>
          <w:u w:val="single" w:color="auto"/>
          <w:color w:val="0000FF"/>
        </w:rPr>
        <w:t>Note 15</w:t>
      </w:r>
      <w:r>
        <w:rPr>
          <w:rFonts w:ascii="Arial" w:cs="Arial" w:eastAsia="Arial" w:hAnsi="Arial"/>
          <w:sz w:val="18"/>
          <w:szCs w:val="18"/>
          <w:color w:val="auto"/>
        </w:rPr>
        <w:t>, “Commitments and Contingencies,” to the Financial Statements in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our Annual Report on Form 10-K for the year ended December 31, 2021, in response to Item 1A., “Risk Factors,” of Part I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12, 2022, the Company entered into a definitive agreement that provides the Company the option to acquire 100% of the equity of Ohio Patient Access LLC. This agreement contains an earn-out provision that the sellers may elect to receive as either cash or shares of the Company’s Class A common stock, or a combination thereof. See Note 4, “Acquisitions,” “Ohio Patient Access,” to the Financial Statements in this Form 10-Q.</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9" w:name="page60"/>
    <w:bookmarkEnd w:id="5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EXHIBIT INDEX</w:t>
      </w:r>
    </w:p>
    <w:p>
      <w:pPr>
        <w:spacing w:after="0" w:line="105" w:lineRule="exact"/>
        <w:rPr>
          <w:sz w:val="20"/>
          <w:szCs w:val="20"/>
          <w:color w:val="auto"/>
        </w:rPr>
      </w:pPr>
    </w:p>
    <w:p>
      <w:pPr>
        <w:jc w:val="right"/>
        <w:ind w:right="1880"/>
        <w:spacing w:after="0"/>
        <w:rPr>
          <w:sz w:val="20"/>
          <w:szCs w:val="20"/>
          <w:color w:val="auto"/>
        </w:rPr>
      </w:pPr>
      <w:r>
        <w:rPr>
          <w:rFonts w:ascii="Arial" w:cs="Arial" w:eastAsia="Arial" w:hAnsi="Arial"/>
          <w:sz w:val="15"/>
          <w:szCs w:val="15"/>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21590</wp:posOffset>
            </wp:positionV>
            <wp:extent cx="3505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 No.</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3.2</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4.1†</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4.2†</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4.3</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4.4</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4.5</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31.1*</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5"/>
          <w:szCs w:val="15"/>
          <w:color w:val="auto"/>
        </w:rPr>
        <w:t>31.2*</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32‡</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101.INS*</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101.SCH*</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101.CAL*</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101.DEF*</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101.LAB*</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101.PRE*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3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rPr>
              <w:t>Exhibit Description</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File No.</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Exhibit</w:t>
            </w:r>
          </w:p>
        </w:tc>
        <w:tc>
          <w:tcPr>
            <w:tcW w:w="8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Filing Date</w:t>
            </w:r>
          </w:p>
        </w:tc>
      </w:tr>
      <w:tr>
        <w:trPr>
          <w:trHeight w:val="159"/>
        </w:trPr>
        <w:tc>
          <w:tcPr>
            <w:tcW w:w="4420" w:type="dxa"/>
            <w:vAlign w:val="bottom"/>
            <w:gridSpan w:val="8"/>
          </w:tcPr>
          <w:p>
            <w:pPr>
              <w:spacing w:after="0" w:line="159" w:lineRule="exact"/>
              <w:rPr>
                <w:rFonts w:ascii="Arial" w:cs="Arial" w:eastAsia="Arial" w:hAnsi="Arial"/>
                <w:sz w:val="15"/>
                <w:szCs w:val="15"/>
                <w:color w:val="0000FF"/>
              </w:rPr>
            </w:pPr>
            <w:hyperlink r:id="rId102">
              <w:r>
                <w:rPr>
                  <w:rFonts w:ascii="Arial" w:cs="Arial" w:eastAsia="Arial" w:hAnsi="Arial"/>
                  <w:sz w:val="15"/>
                  <w:szCs w:val="15"/>
                  <w:color w:val="0000FF"/>
                </w:rPr>
                <w:t>Certificate of Incorporation</w:t>
              </w:r>
            </w:hyperlink>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5"/>
                <w:szCs w:val="15"/>
                <w:color w:val="auto"/>
                <w:w w:val="85"/>
              </w:rPr>
              <w:t>S-1</w:t>
            </w:r>
          </w:p>
        </w:tc>
        <w:tc>
          <w:tcPr>
            <w:tcW w:w="1200" w:type="dxa"/>
            <w:vAlign w:val="bottom"/>
          </w:tcPr>
          <w:p>
            <w:pPr>
              <w:jc w:val="center"/>
              <w:spacing w:after="0" w:line="159" w:lineRule="exact"/>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3"/>
                <w:szCs w:val="13"/>
                <w:color w:val="auto"/>
              </w:rPr>
            </w:pPr>
          </w:p>
        </w:tc>
        <w:tc>
          <w:tcPr>
            <w:tcW w:w="1200" w:type="dxa"/>
            <w:vAlign w:val="bottom"/>
          </w:tcPr>
          <w:p>
            <w:pPr>
              <w:jc w:val="center"/>
              <w:spacing w:after="0" w:line="159" w:lineRule="exact"/>
              <w:rPr>
                <w:sz w:val="20"/>
                <w:szCs w:val="20"/>
                <w:color w:val="auto"/>
              </w:rPr>
            </w:pPr>
            <w:r>
              <w:rPr>
                <w:rFonts w:ascii="Arial" w:cs="Arial" w:eastAsia="Arial" w:hAnsi="Arial"/>
                <w:sz w:val="15"/>
                <w:szCs w:val="15"/>
                <w:color w:val="auto"/>
                <w:w w:val="86"/>
              </w:rPr>
              <w:t>3.4</w:t>
            </w:r>
          </w:p>
        </w:tc>
        <w:tc>
          <w:tcPr>
            <w:tcW w:w="80" w:type="dxa"/>
            <w:vAlign w:val="bottom"/>
          </w:tcPr>
          <w:p>
            <w:pPr>
              <w:spacing w:after="0"/>
              <w:rPr>
                <w:sz w:val="13"/>
                <w:szCs w:val="13"/>
                <w:color w:val="auto"/>
              </w:rPr>
            </w:pPr>
          </w:p>
        </w:tc>
        <w:tc>
          <w:tcPr>
            <w:tcW w:w="1640" w:type="dxa"/>
            <w:vAlign w:val="bottom"/>
          </w:tcPr>
          <w:p>
            <w:pPr>
              <w:jc w:val="center"/>
              <w:spacing w:after="0" w:line="159" w:lineRule="exact"/>
              <w:rPr>
                <w:sz w:val="20"/>
                <w:szCs w:val="20"/>
                <w:color w:val="auto"/>
              </w:rPr>
            </w:pPr>
            <w:r>
              <w:rPr>
                <w:rFonts w:ascii="Arial" w:cs="Arial" w:eastAsia="Arial" w:hAnsi="Arial"/>
                <w:sz w:val="15"/>
                <w:szCs w:val="15"/>
                <w:color w:val="auto"/>
                <w:w w:val="97"/>
              </w:rPr>
              <w:t>April 23, 2021</w:t>
            </w:r>
          </w:p>
        </w:tc>
      </w:tr>
      <w:tr>
        <w:trPr>
          <w:trHeight w:val="223"/>
        </w:trPr>
        <w:tc>
          <w:tcPr>
            <w:tcW w:w="1680" w:type="dxa"/>
            <w:vAlign w:val="bottom"/>
            <w:tcBorders>
              <w:top w:val="single" w:sz="8" w:color="0000FF"/>
            </w:tcBorders>
            <w:gridSpan w:val="2"/>
          </w:tcPr>
          <w:p>
            <w:pPr>
              <w:spacing w:after="0"/>
              <w:rPr>
                <w:rFonts w:ascii="Arial" w:cs="Arial" w:eastAsia="Arial" w:hAnsi="Arial"/>
                <w:sz w:val="15"/>
                <w:szCs w:val="15"/>
                <w:color w:val="0000FF"/>
              </w:rPr>
            </w:pPr>
            <w:hyperlink r:id="rId103">
              <w:r>
                <w:rPr>
                  <w:rFonts w:ascii="Arial" w:cs="Arial" w:eastAsia="Arial" w:hAnsi="Arial"/>
                  <w:sz w:val="15"/>
                  <w:szCs w:val="15"/>
                  <w:color w:val="0000FF"/>
                </w:rPr>
                <w:t>Bylaws</w:t>
              </w:r>
            </w:hyperlink>
          </w:p>
        </w:tc>
        <w:tc>
          <w:tcPr>
            <w:tcW w:w="2740" w:type="dxa"/>
            <w:vAlign w:val="bottom"/>
            <w:gridSpan w:val="6"/>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S-1</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3.5</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7"/>
              </w:rPr>
              <w:t>April 23, 2021</w:t>
            </w:r>
          </w:p>
        </w:tc>
      </w:tr>
      <w:tr>
        <w:trPr>
          <w:trHeight w:val="20"/>
        </w:trPr>
        <w:tc>
          <w:tcPr>
            <w:tcW w:w="460" w:type="dxa"/>
            <w:vAlign w:val="bottom"/>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23"/>
        </w:trPr>
        <w:tc>
          <w:tcPr>
            <w:tcW w:w="3620" w:type="dxa"/>
            <w:vAlign w:val="bottom"/>
            <w:tcBorders>
              <w:bottom w:val="single" w:sz="8" w:color="0000FF"/>
            </w:tcBorders>
            <w:gridSpan w:val="4"/>
          </w:tcPr>
          <w:p>
            <w:pPr>
              <w:spacing w:after="0"/>
              <w:rPr>
                <w:rFonts w:ascii="Arial" w:cs="Arial" w:eastAsia="Arial" w:hAnsi="Arial"/>
                <w:sz w:val="15"/>
                <w:szCs w:val="15"/>
                <w:color w:val="0000FF"/>
                <w:w w:val="92"/>
              </w:rPr>
            </w:pPr>
            <w:hyperlink r:id="rId104">
              <w:r>
                <w:rPr>
                  <w:rFonts w:ascii="Arial" w:cs="Arial" w:eastAsia="Arial" w:hAnsi="Arial"/>
                  <w:sz w:val="15"/>
                  <w:szCs w:val="15"/>
                  <w:color w:val="0000FF"/>
                  <w:w w:val="92"/>
                </w:rPr>
                <w:t>Ascend Wellness Holdings, Inc. 2021 Stock Incentive Plan</w:t>
              </w:r>
            </w:hyperlink>
          </w:p>
        </w:tc>
        <w:tc>
          <w:tcPr>
            <w:tcW w:w="800" w:type="dxa"/>
            <w:vAlign w:val="bottom"/>
            <w:gridSpan w:val="4"/>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S-8</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333-257780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4.2</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July 9, 2021</w:t>
            </w:r>
          </w:p>
        </w:tc>
      </w:tr>
      <w:tr>
        <w:trPr>
          <w:trHeight w:val="223"/>
        </w:trPr>
        <w:tc>
          <w:tcPr>
            <w:tcW w:w="4260" w:type="dxa"/>
            <w:vAlign w:val="bottom"/>
            <w:tcBorders>
              <w:bottom w:val="single" w:sz="8" w:color="0000FF"/>
            </w:tcBorders>
            <w:gridSpan w:val="6"/>
          </w:tcPr>
          <w:p>
            <w:pPr>
              <w:spacing w:after="0"/>
              <w:rPr>
                <w:rFonts w:ascii="Arial" w:cs="Arial" w:eastAsia="Arial" w:hAnsi="Arial"/>
                <w:sz w:val="15"/>
                <w:szCs w:val="15"/>
                <w:color w:val="0000FF"/>
                <w:w w:val="91"/>
              </w:rPr>
            </w:pPr>
            <w:hyperlink r:id="rId105">
              <w:r>
                <w:rPr>
                  <w:rFonts w:ascii="Arial" w:cs="Arial" w:eastAsia="Arial" w:hAnsi="Arial"/>
                  <w:sz w:val="15"/>
                  <w:szCs w:val="15"/>
                  <w:color w:val="0000FF"/>
                  <w:w w:val="91"/>
                </w:rPr>
                <w:t>Ascend Wellness Holdings, Inc. 2021 Employee Stock Purchase Plan</w:t>
              </w:r>
            </w:hyperlink>
          </w:p>
        </w:tc>
        <w:tc>
          <w:tcPr>
            <w:tcW w:w="160" w:type="dxa"/>
            <w:vAlign w:val="bottom"/>
            <w:gridSpan w:val="2"/>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S-8</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333-257780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4.3</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July 9, 2021</w:t>
            </w:r>
          </w:p>
        </w:tc>
      </w:tr>
      <w:tr>
        <w:trPr>
          <w:trHeight w:val="223"/>
        </w:trPr>
        <w:tc>
          <w:tcPr>
            <w:tcW w:w="4140" w:type="dxa"/>
            <w:vAlign w:val="bottom"/>
            <w:tcBorders>
              <w:bottom w:val="single" w:sz="8" w:color="0000FF"/>
            </w:tcBorders>
            <w:gridSpan w:val="5"/>
          </w:tcPr>
          <w:p>
            <w:pPr>
              <w:spacing w:after="0"/>
              <w:rPr>
                <w:rFonts w:ascii="Arial" w:cs="Arial" w:eastAsia="Arial" w:hAnsi="Arial"/>
                <w:sz w:val="15"/>
                <w:szCs w:val="15"/>
                <w:color w:val="0000FF"/>
                <w:w w:val="92"/>
              </w:rPr>
            </w:pPr>
            <w:hyperlink r:id="rId106">
              <w:r>
                <w:rPr>
                  <w:rFonts w:ascii="Arial" w:cs="Arial" w:eastAsia="Arial" w:hAnsi="Arial"/>
                  <w:sz w:val="15"/>
                  <w:szCs w:val="15"/>
                  <w:color w:val="0000FF"/>
                  <w:w w:val="92"/>
                </w:rPr>
                <w:t>Specimen Stock Certificate evidencing the shares of common stock</w:t>
              </w:r>
            </w:hyperlink>
          </w:p>
        </w:tc>
        <w:tc>
          <w:tcPr>
            <w:tcW w:w="280" w:type="dxa"/>
            <w:vAlign w:val="bottom"/>
            <w:gridSpan w:val="3"/>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S-1</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4.1</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7"/>
              </w:rPr>
              <w:t>April 15, 2021</w:t>
            </w:r>
          </w:p>
        </w:tc>
      </w:tr>
      <w:tr>
        <w:trPr>
          <w:trHeight w:val="223"/>
        </w:trPr>
        <w:tc>
          <w:tcPr>
            <w:tcW w:w="4420" w:type="dxa"/>
            <w:vAlign w:val="bottom"/>
            <w:gridSpan w:val="8"/>
          </w:tcPr>
          <w:p>
            <w:pPr>
              <w:spacing w:after="0"/>
              <w:rPr>
                <w:rFonts w:ascii="Arial" w:cs="Arial" w:eastAsia="Arial" w:hAnsi="Arial"/>
                <w:sz w:val="15"/>
                <w:szCs w:val="15"/>
                <w:color w:val="0000FF"/>
              </w:rPr>
            </w:pPr>
            <w:hyperlink r:id="rId107">
              <w:r>
                <w:rPr>
                  <w:rFonts w:ascii="Arial" w:cs="Arial" w:eastAsia="Arial" w:hAnsi="Arial"/>
                  <w:sz w:val="15"/>
                  <w:szCs w:val="15"/>
                  <w:color w:val="0000FF"/>
                </w:rPr>
                <w:t>Form of Registration Rights Agreement</w:t>
              </w:r>
            </w:hyperlink>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85"/>
              </w:rPr>
              <w:t>S-1</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4.2</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7"/>
              </w:rPr>
              <w:t>April 23, 2021</w:t>
            </w:r>
          </w:p>
        </w:tc>
      </w:tr>
      <w:tr>
        <w:trPr>
          <w:trHeight w:val="20"/>
        </w:trPr>
        <w:tc>
          <w:tcPr>
            <w:tcW w:w="2440" w:type="dxa"/>
            <w:vAlign w:val="bottom"/>
            <w:gridSpan w:val="3"/>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22"/>
        </w:trPr>
        <w:tc>
          <w:tcPr>
            <w:tcW w:w="4420" w:type="dxa"/>
            <w:vAlign w:val="bottom"/>
            <w:gridSpan w:val="8"/>
          </w:tcPr>
          <w:p>
            <w:pPr>
              <w:spacing w:after="0"/>
              <w:rPr>
                <w:rFonts w:ascii="Arial" w:cs="Arial" w:eastAsia="Arial" w:hAnsi="Arial"/>
                <w:sz w:val="15"/>
                <w:szCs w:val="15"/>
                <w:u w:val="single" w:color="auto"/>
                <w:color w:val="0000FF"/>
                <w:w w:val="95"/>
              </w:rPr>
            </w:pPr>
            <w:hyperlink r:id="rId108">
              <w:r>
                <w:rPr>
                  <w:rFonts w:ascii="Arial" w:cs="Arial" w:eastAsia="Arial" w:hAnsi="Arial"/>
                  <w:sz w:val="15"/>
                  <w:szCs w:val="15"/>
                  <w:u w:val="single" w:color="auto"/>
                  <w:color w:val="0000FF"/>
                  <w:w w:val="95"/>
                </w:rPr>
                <w:t>Form of Warrant Agreement between Ascend Wellness Holdings, Inc.</w:t>
              </w:r>
            </w:hyperlink>
          </w:p>
        </w:tc>
        <w:tc>
          <w:tcPr>
            <w:tcW w:w="1300" w:type="dxa"/>
            <w:vAlign w:val="bottom"/>
            <w:gridSpan w:val="2"/>
          </w:tcPr>
          <w:p>
            <w:pPr>
              <w:jc w:val="center"/>
              <w:ind w:right="100"/>
              <w:spacing w:after="0"/>
              <w:rPr>
                <w:sz w:val="20"/>
                <w:szCs w:val="20"/>
                <w:color w:val="auto"/>
              </w:rPr>
            </w:pPr>
            <w:r>
              <w:rPr>
                <w:rFonts w:ascii="Arial" w:cs="Arial" w:eastAsia="Arial" w:hAnsi="Arial"/>
                <w:sz w:val="15"/>
                <w:szCs w:val="15"/>
                <w:color w:val="auto"/>
                <w:w w:val="95"/>
              </w:rPr>
              <w:t>10-Q</w:t>
            </w:r>
          </w:p>
        </w:tc>
        <w:tc>
          <w:tcPr>
            <w:tcW w:w="1200" w:type="dxa"/>
            <w:vAlign w:val="bottom"/>
          </w:tcPr>
          <w:p>
            <w:pPr>
              <w:jc w:val="center"/>
              <w:spacing w:after="0"/>
              <w:rPr>
                <w:sz w:val="20"/>
                <w:szCs w:val="20"/>
                <w:color w:val="auto"/>
              </w:rPr>
            </w:pPr>
            <w:r>
              <w:rPr>
                <w:rFonts w:ascii="Arial" w:cs="Arial" w:eastAsia="Arial" w:hAnsi="Arial"/>
                <w:sz w:val="15"/>
                <w:szCs w:val="15"/>
                <w:color w:val="auto"/>
                <w:w w:val="92"/>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5"/>
                <w:szCs w:val="15"/>
                <w:color w:val="auto"/>
                <w:w w:val="86"/>
              </w:rPr>
              <w:t>4.5</w:t>
            </w:r>
          </w:p>
        </w:tc>
        <w:tc>
          <w:tcPr>
            <w:tcW w:w="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5"/>
                <w:szCs w:val="15"/>
                <w:color w:val="auto"/>
                <w:w w:val="93"/>
              </w:rPr>
              <w:t>August 15,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-718820</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-410210</wp:posOffset>
            </wp:positionV>
            <wp:extent cx="71323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-101600</wp:posOffset>
            </wp:positionV>
            <wp:extent cx="7132320"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-1035685</wp:posOffset>
            </wp:positionV>
            <wp:extent cx="713232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rFonts w:ascii="Arial" w:cs="Arial" w:eastAsia="Arial" w:hAnsi="Arial"/>
          <w:sz w:val="15"/>
          <w:szCs w:val="15"/>
          <w:u w:val="single" w:color="auto"/>
          <w:color w:val="0000FF"/>
        </w:rPr>
      </w:pPr>
      <w:hyperlink r:id="rId108">
        <w:r>
          <w:rPr>
            <w:rFonts w:ascii="Arial" w:cs="Arial" w:eastAsia="Arial" w:hAnsi="Arial"/>
            <w:sz w:val="15"/>
            <w:szCs w:val="15"/>
            <w:u w:val="single" w:color="auto"/>
            <w:color w:val="0000FF"/>
          </w:rPr>
          <w:t>and each of the several lenders, dated June 30, 2022</w:t>
        </w:r>
      </w:hyperlink>
    </w:p>
    <w:p>
      <w:pPr>
        <w:spacing w:after="0" w:line="2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Amendment to Employment Agreement between Ascend Wellness</w:t>
      </w:r>
    </w:p>
    <w:p>
      <w:pPr>
        <w:spacing w:after="0"/>
        <w:rPr>
          <w:sz w:val="20"/>
          <w:szCs w:val="20"/>
          <w:color w:val="auto"/>
        </w:rPr>
      </w:pPr>
      <w:r>
        <w:rPr>
          <w:rFonts w:ascii="Arial" w:cs="Arial" w:eastAsia="Arial" w:hAnsi="Arial"/>
          <w:sz w:val="15"/>
          <w:szCs w:val="15"/>
          <w:u w:val="single" w:color="auto"/>
          <w:color w:val="0000FF"/>
        </w:rPr>
        <w:t>Holdings, LLC and Abner Kurtin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19685</wp:posOffset>
            </wp:positionV>
            <wp:extent cx="7132320" cy="231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u w:val="single" w:color="auto"/>
          <w:color w:val="0000FF"/>
        </w:rPr>
        <w:t>Certification of Periodic Report by Interim Co-Principal Executive</w:t>
      </w:r>
    </w:p>
    <w:p>
      <w:pPr>
        <w:spacing w:after="0"/>
        <w:rPr>
          <w:sz w:val="20"/>
          <w:szCs w:val="20"/>
          <w:color w:val="auto"/>
        </w:rPr>
      </w:pPr>
      <w:r>
        <w:rPr>
          <w:rFonts w:ascii="Arial" w:cs="Arial" w:eastAsia="Arial" w:hAnsi="Arial"/>
          <w:sz w:val="15"/>
          <w:szCs w:val="15"/>
          <w:u w:val="single" w:color="auto"/>
          <w:color w:val="0000FF"/>
        </w:rPr>
        <w:t>Officer under Section 302 of the Sarbanes-Oxley Act of 2002.</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Certification of Periodic Report by Interim Co-Principal Executive</w:t>
      </w:r>
    </w:p>
    <w:p>
      <w:pPr>
        <w:spacing w:after="0" w:line="225" w:lineRule="auto"/>
        <w:rPr>
          <w:sz w:val="20"/>
          <w:szCs w:val="20"/>
          <w:color w:val="auto"/>
        </w:rPr>
      </w:pPr>
      <w:r>
        <w:rPr>
          <w:rFonts w:ascii="Arial" w:cs="Arial" w:eastAsia="Arial" w:hAnsi="Arial"/>
          <w:sz w:val="15"/>
          <w:szCs w:val="15"/>
          <w:u w:val="single" w:color="auto"/>
          <w:color w:val="0000FF"/>
        </w:rPr>
        <w:t>Officer and Principal Financial Officer under Section 302 of the</w:t>
      </w:r>
    </w:p>
    <w:p>
      <w:pPr>
        <w:spacing w:after="0"/>
        <w:rPr>
          <w:sz w:val="20"/>
          <w:szCs w:val="20"/>
          <w:color w:val="auto"/>
        </w:rPr>
      </w:pPr>
      <w:r>
        <w:rPr>
          <w:rFonts w:ascii="Arial" w:cs="Arial" w:eastAsia="Arial" w:hAnsi="Arial"/>
          <w:sz w:val="15"/>
          <w:szCs w:val="15"/>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11430</wp:posOffset>
            </wp:positionV>
            <wp:extent cx="7132320"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u w:val="single" w:color="auto"/>
          <w:color w:val="0000FF"/>
        </w:rPr>
        <w:t>Certification of Interim Co-Chief Executive Officers and Chief</w:t>
      </w:r>
    </w:p>
    <w:p>
      <w:pPr>
        <w:spacing w:after="0" w:line="225" w:lineRule="auto"/>
        <w:rPr>
          <w:sz w:val="20"/>
          <w:szCs w:val="20"/>
          <w:color w:val="auto"/>
        </w:rPr>
      </w:pPr>
      <w:r>
        <w:rPr>
          <w:rFonts w:ascii="Arial" w:cs="Arial" w:eastAsia="Arial" w:hAnsi="Arial"/>
          <w:sz w:val="15"/>
          <w:szCs w:val="15"/>
          <w:u w:val="single" w:color="auto"/>
          <w:color w:val="0000FF"/>
        </w:rPr>
        <w:t>Financial Officer Pursuant to 18 U.S.C. Section 1350 as Adopted</w:t>
      </w:r>
    </w:p>
    <w:p>
      <w:pPr>
        <w:spacing w:after="0"/>
        <w:rPr>
          <w:sz w:val="20"/>
          <w:szCs w:val="20"/>
          <w:color w:val="auto"/>
        </w:rPr>
      </w:pPr>
      <w:r>
        <w:rPr>
          <w:rFonts w:ascii="Arial" w:cs="Arial" w:eastAsia="Arial" w:hAnsi="Arial"/>
          <w:sz w:val="15"/>
          <w:szCs w:val="15"/>
          <w:u w:val="single" w:color="auto"/>
          <w:color w:val="0000FF"/>
        </w:rPr>
        <w:t>Pursuant to Section 906 of the Sarbanes-Oxley Act of 2002.</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Inline XBRL Instance Document (the instance document does not</w:t>
      </w:r>
    </w:p>
    <w:p>
      <w:pPr>
        <w:spacing w:after="0" w:line="225" w:lineRule="auto"/>
        <w:rPr>
          <w:sz w:val="20"/>
          <w:szCs w:val="20"/>
          <w:color w:val="auto"/>
        </w:rPr>
      </w:pPr>
      <w:r>
        <w:rPr>
          <w:rFonts w:ascii="Arial" w:cs="Arial" w:eastAsia="Arial" w:hAnsi="Arial"/>
          <w:sz w:val="15"/>
          <w:szCs w:val="15"/>
          <w:color w:val="auto"/>
        </w:rPr>
        <w:t>appear in the Interactive Data File because its XBRL tags are</w:t>
      </w:r>
    </w:p>
    <w:p>
      <w:pPr>
        <w:spacing w:after="0"/>
        <w:rPr>
          <w:sz w:val="20"/>
          <w:szCs w:val="20"/>
          <w:color w:val="auto"/>
        </w:rPr>
      </w:pPr>
      <w:r>
        <w:rPr>
          <w:rFonts w:ascii="Arial" w:cs="Arial" w:eastAsia="Arial" w:hAnsi="Arial"/>
          <w:sz w:val="15"/>
          <w:szCs w:val="15"/>
          <w:color w:val="auto"/>
        </w:rPr>
        <w:t>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11430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Inline XBRL Taxonomy Extension Schema Document</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Inline XBRL Taxonomy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44450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Inline XBRL Taxonomy Extension Definition Linkbase Document</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Inline XBRL Taxonomy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44450</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Inline XBRL Presentation 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Cover Page Interactive Data File (formatted as Inline XBRL and</w:t>
      </w:r>
    </w:p>
    <w:p>
      <w:pPr>
        <w:spacing w:after="0"/>
        <w:rPr>
          <w:sz w:val="20"/>
          <w:szCs w:val="20"/>
          <w:color w:val="auto"/>
        </w:rPr>
      </w:pPr>
      <w:r>
        <w:rPr>
          <w:rFonts w:ascii="Arial" w:cs="Arial" w:eastAsia="Arial" w:hAnsi="Arial"/>
          <w:sz w:val="15"/>
          <w:szCs w:val="15"/>
          <w:color w:val="auto"/>
        </w:rPr>
        <w:t>contained in Exhibit 101)</w:t>
      </w:r>
    </w:p>
    <w:p>
      <w:pPr>
        <w:spacing w:after="0" w:line="200" w:lineRule="exact"/>
        <w:rPr>
          <w:sz w:val="20"/>
          <w:szCs w:val="20"/>
          <w:color w:val="auto"/>
        </w:rPr>
      </w:pPr>
    </w:p>
    <w:p>
      <w:pPr>
        <w:sectPr>
          <w:pgSz w:w="11900" w:h="16838" w:orient="portrait"/>
          <w:cols w:equalWidth="0" w:num="2">
            <w:col w:w="780" w:space="520"/>
            <w:col w:w="9940"/>
          </w:cols>
          <w:pgMar w:left="320" w:top="1440" w:right="339" w:bottom="1440" w:gutter="0" w:footer="0" w:header="0"/>
          <w:type w:val="continuous"/>
        </w:sectPr>
      </w:pPr>
    </w:p>
    <w:p>
      <w:pPr>
        <w:spacing w:after="0" w:line="15"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10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Indicates management contract or compensatory plan, contract or arrangement.</w:t>
      </w:r>
    </w:p>
    <w:p>
      <w:pPr>
        <w:spacing w:after="0" w:line="123" w:lineRule="exact"/>
        <w:rPr>
          <w:sz w:val="20"/>
          <w:szCs w:val="20"/>
          <w:color w:val="auto"/>
        </w:rPr>
      </w:pPr>
    </w:p>
    <w:p>
      <w:pPr>
        <w:ind w:left="340" w:hanging="332"/>
        <w:spacing w:after="0" w:line="293" w:lineRule="auto"/>
        <w:tabs>
          <w:tab w:leader="none" w:pos="243" w:val="left"/>
        </w:tabs>
        <w:numPr>
          <w:ilvl w:val="0"/>
          <w:numId w:val="31"/>
        </w:numPr>
        <w:rPr>
          <w:rFonts w:ascii="Arial" w:cs="Arial" w:eastAsia="Arial" w:hAnsi="Arial"/>
          <w:sz w:val="14"/>
          <w:szCs w:val="14"/>
          <w:color w:val="auto"/>
        </w:rPr>
      </w:pPr>
      <w:r>
        <w:rPr>
          <w:rFonts w:ascii="Arial" w:cs="Arial" w:eastAsia="Arial" w:hAnsi="Arial"/>
          <w:sz w:val="14"/>
          <w:szCs w:val="14"/>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66" w:lineRule="exact"/>
        <w:rPr>
          <w:sz w:val="20"/>
          <w:szCs w:val="20"/>
          <w:color w:val="auto"/>
        </w:rPr>
      </w:pPr>
    </w:p>
    <w:p>
      <w:pPr>
        <w:ind w:left="340" w:hanging="332"/>
        <w:spacing w:after="0" w:line="293" w:lineRule="auto"/>
        <w:tabs>
          <w:tab w:leader="none" w:pos="295" w:val="left"/>
        </w:tabs>
        <w:numPr>
          <w:ilvl w:val="0"/>
          <w:numId w:val="32"/>
        </w:numPr>
        <w:rPr>
          <w:rFonts w:ascii="Arial" w:cs="Arial" w:eastAsia="Arial" w:hAnsi="Arial"/>
          <w:sz w:val="14"/>
          <w:szCs w:val="14"/>
          <w:color w:val="auto"/>
        </w:rPr>
      </w:pPr>
      <w:r>
        <w:rPr>
          <w:rFonts w:ascii="Arial" w:cs="Arial" w:eastAsia="Arial" w:hAnsi="Arial"/>
          <w:sz w:val="14"/>
          <w:szCs w:val="14"/>
          <w:color w:val="auto"/>
        </w:rPr>
        <w:t>Portions of this exhibit have been redacted in compliance with Regulations S-K Item 601(b)(2). The omitted information is not material and would likely cause competitive harm to the Company if publicly disclosed. The Company agrees to furnish an unredacted copy to the SEC upon its request.</w:t>
      </w:r>
    </w:p>
    <w:p>
      <w:pPr>
        <w:spacing w:after="0" w:line="52" w:lineRule="exact"/>
        <w:rPr>
          <w:sz w:val="20"/>
          <w:szCs w:val="20"/>
          <w:color w:val="auto"/>
        </w:rPr>
      </w:pPr>
    </w:p>
    <w:p>
      <w:pPr>
        <w:ind w:left="340" w:right="20" w:hanging="332"/>
        <w:spacing w:after="0" w:line="293" w:lineRule="auto"/>
        <w:tabs>
          <w:tab w:leader="none" w:pos="261" w:val="left"/>
        </w:tabs>
        <w:numPr>
          <w:ilvl w:val="0"/>
          <w:numId w:val="33"/>
        </w:numPr>
        <w:rPr>
          <w:rFonts w:ascii="Arial" w:cs="Arial" w:eastAsia="Arial" w:hAnsi="Arial"/>
          <w:sz w:val="14"/>
          <w:szCs w:val="14"/>
          <w:color w:val="auto"/>
        </w:rPr>
      </w:pPr>
      <w:r>
        <w:rPr>
          <w:rFonts w:ascii="Arial" w:cs="Arial" w:eastAsia="Arial" w:hAnsi="Arial"/>
          <w:sz w:val="14"/>
          <w:szCs w:val="14"/>
          <w:color w:val="auto"/>
        </w:rPr>
        <w:t>Certain schedules and exhibits have been omitted in compliance with Regulation S-K Item 601(a)(5).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0" w:name="page61"/>
    <w:bookmarkEnd w:id="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Ascend Wellness Holdings, Inc.</w:t>
            </w:r>
          </w:p>
        </w:tc>
      </w:tr>
      <w:tr>
        <w:trPr>
          <w:trHeight w:val="364"/>
        </w:trPr>
        <w:tc>
          <w:tcPr>
            <w:tcW w:w="6680" w:type="dxa"/>
            <w:vAlign w:val="bottom"/>
            <w:gridSpan w:val="2"/>
          </w:tcPr>
          <w:p>
            <w:pPr>
              <w:spacing w:after="0"/>
              <w:rPr>
                <w:sz w:val="20"/>
                <w:szCs w:val="20"/>
                <w:color w:val="auto"/>
              </w:rPr>
            </w:pPr>
            <w:r>
              <w:rPr>
                <w:rFonts w:ascii="Arial" w:cs="Arial" w:eastAsia="Arial" w:hAnsi="Arial"/>
                <w:sz w:val="18"/>
                <w:szCs w:val="18"/>
                <w:color w:val="auto"/>
              </w:rPr>
              <w:t>November 14, 2022</w:t>
            </w:r>
          </w:p>
        </w:tc>
        <w:tc>
          <w:tcPr>
            <w:tcW w:w="3240" w:type="dxa"/>
            <w:vAlign w:val="bottom"/>
            <w:gridSpan w:val="3"/>
          </w:tcPr>
          <w:p>
            <w:pPr>
              <w:spacing w:after="0"/>
              <w:rPr>
                <w:sz w:val="20"/>
                <w:szCs w:val="20"/>
                <w:color w:val="auto"/>
              </w:rPr>
            </w:pPr>
            <w:r>
              <w:rPr>
                <w:rFonts w:ascii="Arial" w:cs="Arial" w:eastAsia="Arial" w:hAnsi="Arial"/>
                <w:sz w:val="18"/>
                <w:szCs w:val="18"/>
                <w:color w:val="auto"/>
              </w:rPr>
              <w:t>/s/ Daniel Neville</w:t>
            </w:r>
          </w:p>
        </w:tc>
      </w:tr>
      <w:tr>
        <w:trPr>
          <w:trHeight w:val="236"/>
        </w:trPr>
        <w:tc>
          <w:tcPr>
            <w:tcW w:w="1440" w:type="dxa"/>
            <w:vAlign w:val="bottom"/>
            <w:tcBorders>
              <w:top w:val="single" w:sz="8" w:color="auto"/>
            </w:tcBorders>
          </w:tcPr>
          <w:p>
            <w:pPr>
              <w:spacing w:after="0"/>
              <w:rPr>
                <w:sz w:val="20"/>
                <w:szCs w:val="20"/>
                <w:color w:val="auto"/>
              </w:rPr>
            </w:pPr>
          </w:p>
        </w:tc>
        <w:tc>
          <w:tcPr>
            <w:tcW w:w="524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Daniel Neville</w:t>
            </w:r>
          </w:p>
        </w:tc>
        <w:tc>
          <w:tcPr>
            <w:tcW w:w="1980" w:type="dxa"/>
            <w:vAlign w:val="bottom"/>
            <w:gridSpan w:val="2"/>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Interim Co-Chief Executive Officer</w:t>
            </w:r>
          </w:p>
        </w:tc>
      </w:tr>
      <w:tr>
        <w:trPr>
          <w:trHeight w:val="216"/>
        </w:trPr>
        <w:tc>
          <w:tcPr>
            <w:tcW w:w="1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w w:val="93"/>
              </w:rPr>
              <w:t>(Interim Co-Principal Executive Officer) and</w:t>
            </w:r>
          </w:p>
        </w:tc>
      </w:tr>
      <w:tr>
        <w:trPr>
          <w:trHeight w:val="216"/>
        </w:trPr>
        <w:tc>
          <w:tcPr>
            <w:tcW w:w="1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1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(Principal Financial Officer)</w:t>
            </w:r>
          </w:p>
        </w:tc>
      </w:tr>
      <w:tr>
        <w:trPr>
          <w:trHeight w:val="486"/>
        </w:trPr>
        <w:tc>
          <w:tcPr>
            <w:tcW w:w="6680" w:type="dxa"/>
            <w:vAlign w:val="bottom"/>
            <w:gridSpan w:val="2"/>
          </w:tcPr>
          <w:p>
            <w:pPr>
              <w:spacing w:after="0"/>
              <w:rPr>
                <w:sz w:val="20"/>
                <w:szCs w:val="20"/>
                <w:color w:val="auto"/>
              </w:rPr>
            </w:pPr>
            <w:r>
              <w:rPr>
                <w:rFonts w:ascii="Arial" w:cs="Arial" w:eastAsia="Arial" w:hAnsi="Arial"/>
                <w:sz w:val="18"/>
                <w:szCs w:val="18"/>
                <w:color w:val="auto"/>
              </w:rPr>
              <w:t>November 14, 2022</w:t>
            </w:r>
          </w:p>
        </w:tc>
        <w:tc>
          <w:tcPr>
            <w:tcW w:w="3240" w:type="dxa"/>
            <w:vAlign w:val="bottom"/>
            <w:gridSpan w:val="3"/>
          </w:tcPr>
          <w:p>
            <w:pPr>
              <w:spacing w:after="0"/>
              <w:rPr>
                <w:sz w:val="20"/>
                <w:szCs w:val="20"/>
                <w:color w:val="auto"/>
              </w:rPr>
            </w:pPr>
            <w:r>
              <w:rPr>
                <w:rFonts w:ascii="Arial" w:cs="Arial" w:eastAsia="Arial" w:hAnsi="Arial"/>
                <w:sz w:val="18"/>
                <w:szCs w:val="18"/>
                <w:color w:val="auto"/>
              </w:rPr>
              <w:t>/s/ Roman Nemchenko</w:t>
            </w:r>
          </w:p>
        </w:tc>
      </w:tr>
      <w:tr>
        <w:trPr>
          <w:trHeight w:val="236"/>
        </w:trPr>
        <w:tc>
          <w:tcPr>
            <w:tcW w:w="1440" w:type="dxa"/>
            <w:vAlign w:val="bottom"/>
            <w:tcBorders>
              <w:top w:val="single" w:sz="8" w:color="auto"/>
            </w:tcBorders>
          </w:tcPr>
          <w:p>
            <w:pPr>
              <w:spacing w:after="0"/>
              <w:rPr>
                <w:sz w:val="20"/>
                <w:szCs w:val="20"/>
                <w:color w:val="auto"/>
              </w:rPr>
            </w:pPr>
          </w:p>
        </w:tc>
        <w:tc>
          <w:tcPr>
            <w:tcW w:w="5240" w:type="dxa"/>
            <w:vAlign w:val="bottom"/>
          </w:tcPr>
          <w:p>
            <w:pPr>
              <w:spacing w:after="0"/>
              <w:rPr>
                <w:sz w:val="20"/>
                <w:szCs w:val="20"/>
                <w:color w:val="auto"/>
              </w:rPr>
            </w:pPr>
          </w:p>
        </w:tc>
        <w:tc>
          <w:tcPr>
            <w:tcW w:w="1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Roman Nemchenko</w:t>
            </w:r>
          </w:p>
        </w:tc>
        <w:tc>
          <w:tcPr>
            <w:tcW w:w="160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14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Chief Accounting Officer</w:t>
            </w:r>
          </w:p>
        </w:tc>
      </w:tr>
      <w:tr>
        <w:trPr>
          <w:trHeight w:val="230"/>
        </w:trPr>
        <w:tc>
          <w:tcPr>
            <w:tcW w:w="1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440" w:right="339" w:bottom="1440" w:gutter="0" w:footer="0" w:header="0"/>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AMENDMENT NO. 1 (this “</w:t>
      </w:r>
      <w:r>
        <w:rPr>
          <w:rFonts w:ascii="Arial" w:cs="Arial" w:eastAsia="Arial" w:hAnsi="Arial"/>
          <w:sz w:val="22"/>
          <w:szCs w:val="22"/>
          <w:u w:val="single" w:color="auto"/>
          <w:color w:val="auto"/>
        </w:rPr>
        <w:t>Amendment</w:t>
      </w:r>
      <w:r>
        <w:rPr>
          <w:rFonts w:ascii="Arial" w:cs="Arial" w:eastAsia="Arial" w:hAnsi="Arial"/>
          <w:sz w:val="22"/>
          <w:szCs w:val="22"/>
          <w:color w:val="auto"/>
        </w:rPr>
        <w:t>”) to that certain Employment Agreement, dated March 22, 2021, by and between Ascend Wellness Holdings, LLC, a Delaware limited liability company (the “</w:t>
      </w:r>
      <w:r>
        <w:rPr>
          <w:rFonts w:ascii="Arial" w:cs="Arial" w:eastAsia="Arial" w:hAnsi="Arial"/>
          <w:sz w:val="22"/>
          <w:szCs w:val="22"/>
          <w:u w:val="single" w:color="auto"/>
          <w:color w:val="auto"/>
        </w:rPr>
        <w:t>Company</w:t>
      </w:r>
      <w:r>
        <w:rPr>
          <w:rFonts w:ascii="Arial" w:cs="Arial" w:eastAsia="Arial" w:hAnsi="Arial"/>
          <w:sz w:val="22"/>
          <w:szCs w:val="22"/>
          <w:color w:val="auto"/>
        </w:rPr>
        <w:t>”), and Abner Kurtin (“</w:t>
      </w:r>
      <w:r>
        <w:rPr>
          <w:rFonts w:ascii="Arial" w:cs="Arial" w:eastAsia="Arial" w:hAnsi="Arial"/>
          <w:sz w:val="22"/>
          <w:szCs w:val="22"/>
          <w:u w:val="single" w:color="auto"/>
          <w:color w:val="auto"/>
        </w:rPr>
        <w:t>Executive</w:t>
      </w:r>
      <w:r>
        <w:rPr>
          <w:rFonts w:ascii="Arial" w:cs="Arial" w:eastAsia="Arial" w:hAnsi="Arial"/>
          <w:sz w:val="22"/>
          <w:szCs w:val="22"/>
          <w:color w:val="auto"/>
        </w:rPr>
        <w:t>”)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is made as of September 27, 2022.</w:t>
      </w:r>
    </w:p>
    <w:p>
      <w:pPr>
        <w:spacing w:after="0" w:line="17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W I T N E S S E T H.</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Company and the Executive are parties to the Employment Agreement; and</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parties hereto desire to amend the Employment Agreement as set forth herein, effective as of September 27, 2022.</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mutual covenants contained herein and other good and valuable consideration, the receipt and sufficiency of which are hereby acknowledged, the parties agree as follows:</w:t>
      </w:r>
    </w:p>
    <w:p>
      <w:pPr>
        <w:spacing w:after="0" w:line="17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Employment Agreement is hereby amended as follows:</w:t>
      </w:r>
    </w:p>
    <w:p>
      <w:pPr>
        <w:spacing w:after="0" w:line="219" w:lineRule="exact"/>
        <w:rPr>
          <w:rFonts w:ascii="Arial" w:cs="Arial" w:eastAsia="Arial" w:hAnsi="Arial"/>
          <w:sz w:val="22"/>
          <w:szCs w:val="22"/>
          <w:color w:val="auto"/>
        </w:rPr>
      </w:pPr>
    </w:p>
    <w:p>
      <w:pPr>
        <w:jc w:val="both"/>
        <w:ind w:left="660" w:hanging="328"/>
        <w:spacing w:after="0" w:line="319" w:lineRule="auto"/>
        <w:tabs>
          <w:tab w:leader="none" w:pos="652" w:val="left"/>
        </w:tabs>
        <w:numPr>
          <w:ilvl w:val="1"/>
          <w:numId w:val="34"/>
        </w:numPr>
        <w:rPr>
          <w:rFonts w:ascii="Arial" w:cs="Arial" w:eastAsia="Arial" w:hAnsi="Arial"/>
          <w:sz w:val="19"/>
          <w:szCs w:val="19"/>
          <w:color w:val="auto"/>
        </w:rPr>
      </w:pPr>
      <w:r>
        <w:rPr>
          <w:rFonts w:ascii="Arial" w:cs="Arial" w:eastAsia="Arial" w:hAnsi="Arial"/>
          <w:sz w:val="19"/>
          <w:szCs w:val="19"/>
          <w:color w:val="auto"/>
        </w:rPr>
        <w:t>Section 1 of the Employment Agreement is hereby amended by deleting Section 1 in its entirety and replacing Section 1 with the following: “</w:t>
      </w:r>
      <w:r>
        <w:rPr>
          <w:rFonts w:ascii="Arial" w:cs="Arial" w:eastAsia="Arial" w:hAnsi="Arial"/>
          <w:sz w:val="19"/>
          <w:szCs w:val="19"/>
          <w:u w:val="single" w:color="auto"/>
          <w:color w:val="auto"/>
        </w:rPr>
        <w:t>Employment</w:t>
      </w:r>
      <w:r>
        <w:rPr>
          <w:rFonts w:ascii="Arial" w:cs="Arial" w:eastAsia="Arial" w:hAnsi="Arial"/>
          <w:sz w:val="19"/>
          <w:szCs w:val="19"/>
          <w:color w:val="auto"/>
        </w:rPr>
        <w:t>. Subject to the terms and conditions set forth in this Agreement, the Company hereby offers, and the Executive hereby accepts, continued employment as Executive Chairman of the Company.”</w:t>
      </w:r>
    </w:p>
    <w:p>
      <w:pPr>
        <w:spacing w:after="0" w:line="127" w:lineRule="exact"/>
        <w:rPr>
          <w:rFonts w:ascii="Arial" w:cs="Arial" w:eastAsia="Arial" w:hAnsi="Arial"/>
          <w:sz w:val="19"/>
          <w:szCs w:val="19"/>
          <w:color w:val="auto"/>
        </w:rPr>
      </w:pPr>
    </w:p>
    <w:p>
      <w:pPr>
        <w:jc w:val="both"/>
        <w:ind w:left="660" w:hanging="328"/>
        <w:spacing w:after="0" w:line="253" w:lineRule="auto"/>
        <w:tabs>
          <w:tab w:leader="none" w:pos="651" w:val="left"/>
        </w:tabs>
        <w:numPr>
          <w:ilvl w:val="1"/>
          <w:numId w:val="34"/>
        </w:numPr>
        <w:rPr>
          <w:rFonts w:ascii="Arial" w:cs="Arial" w:eastAsia="Arial" w:hAnsi="Arial"/>
          <w:sz w:val="22"/>
          <w:szCs w:val="22"/>
          <w:color w:val="auto"/>
        </w:rPr>
      </w:pPr>
      <w:r>
        <w:rPr>
          <w:rFonts w:ascii="Arial" w:cs="Arial" w:eastAsia="Arial" w:hAnsi="Arial"/>
          <w:sz w:val="22"/>
          <w:szCs w:val="22"/>
          <w:color w:val="auto"/>
        </w:rPr>
        <w:t>Section 3(a) of the Employment Agreement is hereby amended by deleting Section 3(a) in its entirety and replacing Section 3(a) with the following: “During the term hereof, the Executive shall serve the Company as Executive Chairman, reporting directly to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w:t>
      </w:r>
    </w:p>
    <w:p>
      <w:pPr>
        <w:spacing w:after="0" w:line="198" w:lineRule="exact"/>
        <w:rPr>
          <w:rFonts w:ascii="Arial" w:cs="Arial" w:eastAsia="Arial" w:hAnsi="Arial"/>
          <w:sz w:val="22"/>
          <w:szCs w:val="22"/>
          <w:color w:val="auto"/>
        </w:rPr>
      </w:pPr>
    </w:p>
    <w:p>
      <w:pPr>
        <w:jc w:val="both"/>
        <w:ind w:left="660" w:hanging="328"/>
        <w:spacing w:after="0" w:line="302" w:lineRule="auto"/>
        <w:tabs>
          <w:tab w:leader="none" w:pos="652"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Section 3(b) of the Employment Agreement is hereby amended by deleting Section 3(b) in its entirety and replacing Section 3(b) with the following: “During the term hereof, the Executive shall be employed by the Company on a full-time and diligent basis and shall perform such duties and responsibilities on behalf of the Company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and made a part hereof or as otherwise directed by the Board.”</w:t>
      </w:r>
    </w:p>
    <w:p>
      <w:pPr>
        <w:spacing w:after="0" w:line="142" w:lineRule="exact"/>
        <w:rPr>
          <w:rFonts w:ascii="Arial" w:cs="Arial" w:eastAsia="Arial" w:hAnsi="Arial"/>
          <w:sz w:val="19"/>
          <w:szCs w:val="19"/>
          <w:color w:val="auto"/>
        </w:rPr>
      </w:pPr>
    </w:p>
    <w:p>
      <w:pPr>
        <w:jc w:val="both"/>
        <w:ind w:left="660" w:hanging="328"/>
        <w:spacing w:after="0" w:line="270" w:lineRule="auto"/>
        <w:tabs>
          <w:tab w:leader="none" w:pos="651" w:val="left"/>
        </w:tabs>
        <w:numPr>
          <w:ilvl w:val="1"/>
          <w:numId w:val="34"/>
        </w:numPr>
        <w:rPr>
          <w:rFonts w:ascii="Arial" w:cs="Arial" w:eastAsia="Arial" w:hAnsi="Arial"/>
          <w:sz w:val="21"/>
          <w:szCs w:val="21"/>
          <w:color w:val="auto"/>
        </w:rPr>
      </w:pPr>
      <w:r>
        <w:rPr>
          <w:rFonts w:ascii="Arial" w:cs="Arial" w:eastAsia="Arial" w:hAnsi="Arial"/>
          <w:sz w:val="21"/>
          <w:szCs w:val="21"/>
          <w:color w:val="auto"/>
        </w:rPr>
        <w:t>The first sentence of Section 3(c) of the Employment Agreement is hereby amended by deleting and replacing the first sentence of Section 3(c) with the following: [“During the term hereof, for so long as the Executive is employed as the Company’s Executive Chairman, the Company will nominate the Executive for re-election to the Board and the Executive shall serve in such other officer and/or director positions with any affiliate of</w:t>
      </w:r>
    </w:p>
    <w:p>
      <w:pPr>
        <w:sectPr>
          <w:pgSz w:w="11900" w:h="16838" w:orient="portrait"/>
          <w:cols w:equalWidth="0" w:num="1">
            <w:col w:w="11240"/>
          </w:cols>
          <w:pgMar w:left="320" w:top="121" w:right="339" w:bottom="1440" w:gutter="0" w:footer="0" w:header="0"/>
        </w:sectPr>
      </w:pPr>
    </w:p>
    <w:bookmarkStart w:id="62" w:name="page63"/>
    <w:bookmarkEnd w:id="62"/>
    <w:p>
      <w:pPr>
        <w:ind w:left="328"/>
        <w:spacing w:after="0" w:line="263" w:lineRule="auto"/>
        <w:rPr>
          <w:sz w:val="20"/>
          <w:szCs w:val="20"/>
          <w:color w:val="auto"/>
        </w:rPr>
      </w:pPr>
      <w:r>
        <w:rPr>
          <w:rFonts w:ascii="Arial" w:cs="Arial" w:eastAsia="Arial" w:hAnsi="Arial"/>
          <w:sz w:val="22"/>
          <w:szCs w:val="22"/>
          <w:color w:val="auto"/>
        </w:rPr>
        <w:t>the Company (for no additional compensation) as may be determined by the Board (excluding the Executive) from time to time.”]</w:t>
      </w:r>
    </w:p>
    <w:p>
      <w:pPr>
        <w:spacing w:after="0" w:line="175" w:lineRule="exact"/>
        <w:rPr>
          <w:sz w:val="20"/>
          <w:szCs w:val="20"/>
          <w:color w:val="auto"/>
        </w:rPr>
      </w:pPr>
    </w:p>
    <w:p>
      <w:pPr>
        <w:jc w:val="both"/>
        <w:ind w:left="328" w:hanging="328"/>
        <w:spacing w:after="0" w:line="307" w:lineRule="auto"/>
        <w:tabs>
          <w:tab w:leader="none" w:pos="3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Section 5(f)(iii) of the Employment Agreement is hereby amended by deleting Section 5(f)(iii) and replacing Section 5(f) (iii) with the following: [“any failure by the Company to nominate the Executive for re-election to the Board and to use its best efforts to have the Executive re-elected (other than as a result of a Change of Control Event, which shall be governed by this Section 5(f)(v)), or any change in the Executive’s title as Executive Chairman of the Company;”]</w:t>
      </w:r>
    </w:p>
    <w:p>
      <w:pPr>
        <w:spacing w:after="0" w:line="137" w:lineRule="exact"/>
        <w:rPr>
          <w:rFonts w:ascii="Arial" w:cs="Arial" w:eastAsia="Arial" w:hAnsi="Arial"/>
          <w:sz w:val="19"/>
          <w:szCs w:val="19"/>
          <w:color w:val="auto"/>
        </w:rPr>
      </w:pPr>
    </w:p>
    <w:p>
      <w:pPr>
        <w:jc w:val="both"/>
        <w:ind w:left="328" w:hanging="328"/>
        <w:spacing w:after="0" w:line="293" w:lineRule="auto"/>
        <w:tabs>
          <w:tab w:leader="none" w:pos="323" w:val="left"/>
        </w:tabs>
        <w:numPr>
          <w:ilvl w:val="0"/>
          <w:numId w:val="35"/>
        </w:numPr>
        <w:rPr>
          <w:rFonts w:ascii="Arial" w:cs="Arial" w:eastAsia="Arial" w:hAnsi="Arial"/>
          <w:sz w:val="19"/>
          <w:szCs w:val="19"/>
          <w:color w:val="auto"/>
        </w:rPr>
      </w:pPr>
      <w:r>
        <w:rPr>
          <w:rFonts w:ascii="Arial" w:cs="Arial" w:eastAsia="Arial" w:hAnsi="Arial"/>
          <w:sz w:val="19"/>
          <w:szCs w:val="19"/>
          <w:color w:val="auto"/>
        </w:rPr>
        <w:t>Section 5(f)(v) of the Employment Agreement is hereby amended by deleting and replacing Section 5(f)(v) with the following: “in the event of a Change of Control Event, any failure by the acquirer to (a) make an offer of employment to the Executive for a base salary, target bonus and maximum bonus opportunity amounts that are substantially comparable in the aggregate to the Executive’s Base Salary and Annual Bonus (taking into consideration both the Target Bonus and the Maximum Annual Bonus) each as of immediately prior to such sale, (b) nominate the Executive for election to the Board of the acquirer, (c) offer the Executive a position with duties, responsibilities and authority that are materially comparable to the Executive’s duties, responsibilities and authority as Executive Chairman of the Company (disregarding any duties, responsibilities and authority the Executive had as a member of the Board or as an officer or director of any affiliate of the Company) as of immediately prior to such sale”.</w:t>
      </w:r>
    </w:p>
    <w:p>
      <w:pPr>
        <w:spacing w:after="0" w:line="150" w:lineRule="exact"/>
        <w:rPr>
          <w:rFonts w:ascii="Arial" w:cs="Arial" w:eastAsia="Arial" w:hAnsi="Arial"/>
          <w:sz w:val="19"/>
          <w:szCs w:val="19"/>
          <w:color w:val="auto"/>
        </w:rPr>
      </w:pPr>
    </w:p>
    <w:p>
      <w:pPr>
        <w:jc w:val="both"/>
        <w:ind w:left="328" w:hanging="328"/>
        <w:spacing w:after="0" w:line="288" w:lineRule="auto"/>
        <w:tabs>
          <w:tab w:leader="none" w:pos="319" w:val="left"/>
        </w:tabs>
        <w:numPr>
          <w:ilvl w:val="0"/>
          <w:numId w:val="35"/>
        </w:numPr>
        <w:rPr>
          <w:rFonts w:ascii="Arial" w:cs="Arial" w:eastAsia="Arial" w:hAnsi="Arial"/>
          <w:sz w:val="19"/>
          <w:szCs w:val="19"/>
          <w:color w:val="auto"/>
        </w:rPr>
      </w:pPr>
      <w:r>
        <w:rPr>
          <w:rFonts w:ascii="Arial" w:cs="Arial" w:eastAsia="Arial" w:hAnsi="Arial"/>
          <w:sz w:val="19"/>
          <w:szCs w:val="19"/>
          <w:color w:val="auto"/>
        </w:rPr>
        <w:t>Section 19 of the Employment Agreement is hereby amended by deleting Section 19 in its entirety and replacing Section 19 with the following: “</w:t>
      </w:r>
      <w:r>
        <w:rPr>
          <w:rFonts w:ascii="Arial" w:cs="Arial" w:eastAsia="Arial" w:hAnsi="Arial"/>
          <w:sz w:val="19"/>
          <w:szCs w:val="19"/>
          <w:u w:val="single" w:color="auto"/>
          <w:color w:val="auto"/>
        </w:rPr>
        <w:t>Governing Law; Venue; Dispute Resolution</w:t>
      </w:r>
      <w:r>
        <w:rPr>
          <w:rFonts w:ascii="Arial" w:cs="Arial" w:eastAsia="Arial" w:hAnsi="Arial"/>
          <w:sz w:val="19"/>
          <w:szCs w:val="19"/>
          <w:color w:val="auto"/>
        </w:rPr>
        <w:t>. This Agreement, the rights of the parties, and all claims, actions, causes of action, suits, litigation, controversies, hearings, charges, complaints or proceedings arising in whole or in part under or in connection herewith, will be governed by and construed in accordance with the domestic substantive laws of the State of New York, without giving effect to any choice of conflict of law provision or rule that would cause the application of the laws of any other jurisdiction. If the parties cannot settle any disputes, differences, controversies, or claims arising under the Employment Agreement (“</w:t>
      </w:r>
      <w:r>
        <w:rPr>
          <w:rFonts w:ascii="Arial" w:cs="Arial" w:eastAsia="Arial" w:hAnsi="Arial"/>
          <w:sz w:val="19"/>
          <w:szCs w:val="19"/>
          <w:u w:val="single" w:color="auto"/>
          <w:color w:val="auto"/>
        </w:rPr>
        <w:t>Disputes</w:t>
      </w:r>
      <w:r>
        <w:rPr>
          <w:rFonts w:ascii="Arial" w:cs="Arial" w:eastAsia="Arial" w:hAnsi="Arial"/>
          <w:sz w:val="19"/>
          <w:szCs w:val="19"/>
          <w:color w:val="auto"/>
        </w:rPr>
        <w:t>”) through good faith negotiation, then such Disputes shall be referred by either party to JAMS and finally settled by confidential, binding arbitration under the Streamlined Arbitration Rules and Procedures (the “</w:t>
      </w:r>
      <w:r>
        <w:rPr>
          <w:rFonts w:ascii="Arial" w:cs="Arial" w:eastAsia="Arial" w:hAnsi="Arial"/>
          <w:sz w:val="19"/>
          <w:szCs w:val="19"/>
          <w:u w:val="single" w:color="auto"/>
          <w:color w:val="auto"/>
        </w:rPr>
        <w:t>Rules</w:t>
      </w:r>
      <w:r>
        <w:rPr>
          <w:rFonts w:ascii="Arial" w:cs="Arial" w:eastAsia="Arial" w:hAnsi="Arial"/>
          <w:sz w:val="19"/>
          <w:szCs w:val="19"/>
          <w:color w:val="auto"/>
        </w:rPr>
        <w:t>”) of JAMS by a single arbitrator appointed by agreement of the parties in accordance with such Rules or, in the absence of such agreement, by JAMS in accordance with such Rules. The foregoing arbitration proceedings may be commenced by any party by written notice to the other party. The venue for any such arbitration shall be New York County, New York, and each of the parties irrevocably and unconditionally agrees to venue in New York County, New York. For the avoidance of doubt, EACH OF THE PARTIES HEREBY IRREVOCABLY AND UNCONDITIONALLY WAIVES ANY RIGHT TO TRIAL BY JURY IN ANY ACTION OR PROCEEDING OF ANY KIND OR NATURE IN ANY COURT OR TRIBUNAL. Each of the parties hereby agrees to maintain the nature of any Dispute, the resolution of any Dispute by discussion, arbitration or otherwise, and/or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08"/>
          </w:cols>
          <w:pgMar w:left="652" w:top="1428" w:right="339" w:bottom="1440" w:gutter="0" w:footer="0" w:header="0"/>
        </w:sectPr>
      </w:pPr>
    </w:p>
    <w:bookmarkStart w:id="63" w:name="page64"/>
    <w:bookmarkEnd w:id="63"/>
    <w:p>
      <w:pPr>
        <w:jc w:val="both"/>
        <w:ind w:left="660"/>
        <w:spacing w:after="0" w:line="288" w:lineRule="auto"/>
        <w:rPr>
          <w:sz w:val="20"/>
          <w:szCs w:val="20"/>
          <w:color w:val="auto"/>
        </w:rPr>
      </w:pPr>
      <w:r>
        <w:rPr>
          <w:rFonts w:ascii="Arial" w:cs="Arial" w:eastAsia="Arial" w:hAnsi="Arial"/>
          <w:sz w:val="19"/>
          <w:szCs w:val="19"/>
          <w:color w:val="auto"/>
        </w:rPr>
        <w:t>any documentation, memoranda, submissions and other materials delivered by or received from the arbitrator, a party, or any other person involved in any such arbitration strictly confidential (except as permitted in the immediately succeeding clause of this sentence); and the terms of any settlement agreement, arbitrator’s award or other resolution of such Dispute, and any such documentation, memoranda, submissions and/or other materials, shall not be disclosed to any other person, except as required by law or the Rules, to a party’s professional advisors, insurers, vendors, and experts engaged in connection with such Dispute, to a party’s witnesses in respect of such Dispute, or as may be required to enforce any settlement agreement, arbitrator’s award or other resolution of such Dispute. Each of the parties irrevocably and unconditionally agrees that the arbitrator’s award shall be final and binding and that such award and any of the other provisions of this paragraph may be enforced in any court having jurisdiction over the award or any of the parties or any of his, her or its respective assets, and judgment on the award (including, without limitation, equitable remedies) granted in any arbitration hereunder may be entered in any such court. Without limiting the foregoing, each of the parties hereby agrees to exclude any right of appeal to any court on the merits of the Dispute or the resolution thereof. Each of the parties shall pay its respective arbitration-related expenses, attorneys’ fees, and other costs incurred by him, her or it in connection with such arbitration, except as the single arbitrator may otherwise determine in such arbitrator’s award. Nothing in this Section 19 shall prevent a party from seeking provisional remedies in a court of competent jurisdiction as a conservatory measure or in aid of arbitration. In the event of a conflict between the Rules and this paragraph, the provisions of this paragraph shall govern.”</w:t>
      </w:r>
    </w:p>
    <w:p>
      <w:pPr>
        <w:spacing w:after="0" w:line="200" w:lineRule="exact"/>
        <w:rPr>
          <w:sz w:val="20"/>
          <w:szCs w:val="20"/>
          <w:color w:val="auto"/>
        </w:rPr>
      </w:pPr>
    </w:p>
    <w:p>
      <w:pPr>
        <w:spacing w:after="0" w:line="222" w:lineRule="exact"/>
        <w:rPr>
          <w:sz w:val="20"/>
          <w:szCs w:val="20"/>
          <w:color w:val="auto"/>
        </w:rPr>
      </w:pPr>
    </w:p>
    <w:p>
      <w:pPr>
        <w:jc w:val="both"/>
        <w:ind w:left="340" w:hanging="332"/>
        <w:spacing w:after="0" w:line="307" w:lineRule="auto"/>
        <w:tabs>
          <w:tab w:leader="none" w:pos="3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For avoidance of doubt, as resolved by the Company’s Board of Directors on March 1, 2022 and the Compensation and Corporate Governance Committee on August 5, 2022, the Executive shall continue to receive his 2022 Base Salary via quarterly stock issuances on the terms and conditions set forth in such resolutions. For avoidance of doubt, Executive’s Base Salary for any year after 2022 shall be paid in accordance with Section 4(a) of the Employment Agreement.</w:t>
      </w:r>
    </w:p>
    <w:p>
      <w:pPr>
        <w:spacing w:after="0" w:line="137" w:lineRule="exact"/>
        <w:rPr>
          <w:rFonts w:ascii="Arial" w:cs="Arial" w:eastAsia="Arial" w:hAnsi="Arial"/>
          <w:sz w:val="19"/>
          <w:szCs w:val="19"/>
          <w:color w:val="auto"/>
        </w:rPr>
      </w:pPr>
    </w:p>
    <w:p>
      <w:pPr>
        <w:jc w:val="both"/>
        <w:ind w:left="340" w:hanging="332"/>
        <w:spacing w:after="0" w:line="270" w:lineRule="auto"/>
        <w:tabs>
          <w:tab w:leader="none" w:pos="3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Except as specifically set forth herein, the Employment Agreement and all of its terms and conditions remain in full force and effect, and the Employment Agreement is hereby ratified and confirmed in all respects, except that on or after the date of this Amendment all references in the Employment Agreement to “this Agreement,” “hereto,” “hereof,” “hereunder,” or words of like import shall mean the Employment Agreement as amended by this Amendment.</w:t>
      </w:r>
    </w:p>
    <w:p>
      <w:pPr>
        <w:spacing w:after="0" w:line="168" w:lineRule="exact"/>
        <w:rPr>
          <w:rFonts w:ascii="Arial" w:cs="Arial" w:eastAsia="Arial" w:hAnsi="Arial"/>
          <w:sz w:val="21"/>
          <w:szCs w:val="21"/>
          <w:color w:val="auto"/>
        </w:rPr>
      </w:pPr>
    </w:p>
    <w:p>
      <w:pPr>
        <w:jc w:val="both"/>
        <w:ind w:left="340" w:hanging="332"/>
        <w:spacing w:after="0" w:line="297" w:lineRule="auto"/>
        <w:tabs>
          <w:tab w:leader="none" w:pos="3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Executive hereby releases any and all claims and potential claims, known and unknown, against the Company and the other Releasees (as defined below) that are releasable by law, which arose on or before the Effective Date and are directly related to the Company’s issuance of a press release on September 6, 2022, Executive’s appointment to the role of Executive Chairman, and the entry into this Amendment. This limited release is made by Executive for and on behalf of himself and his family, dependents, heirs, executors, administrators and assigns, and Executive hereby releases the Company and its respective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4" w:name="page65"/>
    <w:bookmarkEnd w:id="64"/>
    <w:p>
      <w:pPr>
        <w:jc w:val="both"/>
        <w:ind w:left="340"/>
        <w:spacing w:after="0" w:line="248" w:lineRule="auto"/>
        <w:rPr>
          <w:sz w:val="20"/>
          <w:szCs w:val="20"/>
          <w:color w:val="auto"/>
        </w:rPr>
      </w:pPr>
      <w:r>
        <w:rPr>
          <w:rFonts w:ascii="Arial" w:cs="Arial" w:eastAsia="Arial" w:hAnsi="Arial"/>
          <w:sz w:val="22"/>
          <w:szCs w:val="22"/>
          <w:color w:val="auto"/>
        </w:rPr>
        <w:t>predecessors, successors, and all their past, present or future assigns, parents, subsidiaries, affiliates, insurers, and affiliated entities, together with their respective current and former officers, directors, shareholders, fiduciaries, administrators, trustees, agents, employees, and/or representatives, and their respective predecessors, successors and assigns, heirs, executors, administrators, and any and all other affiliated persons or entities, which may have an interest by or through them (collectively “</w:t>
      </w:r>
      <w:r>
        <w:rPr>
          <w:rFonts w:ascii="Arial" w:cs="Arial" w:eastAsia="Arial" w:hAnsi="Arial"/>
          <w:sz w:val="22"/>
          <w:szCs w:val="22"/>
          <w:u w:val="single" w:color="auto"/>
          <w:color w:val="auto"/>
        </w:rPr>
        <w:t>Releasees</w:t>
      </w:r>
      <w:r>
        <w:rPr>
          <w:rFonts w:ascii="Arial" w:cs="Arial" w:eastAsia="Arial" w:hAnsi="Arial"/>
          <w:sz w:val="22"/>
          <w:szCs w:val="22"/>
          <w:color w:val="auto"/>
        </w:rPr>
        <w:t>”), both jointly and individually, from any and all claims, actions, arbitrations, and lawsuits of any kind relating directly to the limited subject matter of this limited release in this Section 4. For the avoidance of doubt, the parties agree that entry into this Amendment does not constitute “Good Reason” as such term is defined in the Employment Agreement.</w:t>
      </w:r>
    </w:p>
    <w:p>
      <w:pPr>
        <w:spacing w:after="0" w:line="204" w:lineRule="exact"/>
        <w:rPr>
          <w:sz w:val="20"/>
          <w:szCs w:val="20"/>
          <w:color w:val="auto"/>
        </w:rPr>
      </w:pPr>
    </w:p>
    <w:p>
      <w:pPr>
        <w:jc w:val="both"/>
        <w:ind w:left="340" w:hanging="332"/>
        <w:spacing w:after="0" w:line="265" w:lineRule="auto"/>
        <w:tabs>
          <w:tab w:leader="none" w:pos="3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Except as set forth in Section 4 hereinabove, neither party waives any claims, demands, causes of actions, fees, damages, liabilities and expenses (including attorneys' fees) of any kind whatsoever, whether known or unknown, that such party has ever had or might have against the other party, including, but not limited to, those that directly or indirectly arise out of, relate to, or are connected with, the Employment Agreement or this Amendment.</w:t>
      </w:r>
    </w:p>
    <w:p>
      <w:pPr>
        <w:spacing w:after="0" w:line="175" w:lineRule="exact"/>
        <w:rPr>
          <w:rFonts w:ascii="Arial" w:cs="Arial" w:eastAsia="Arial" w:hAnsi="Arial"/>
          <w:sz w:val="21"/>
          <w:szCs w:val="21"/>
          <w:color w:val="auto"/>
        </w:rPr>
      </w:pPr>
    </w:p>
    <w:p>
      <w:pPr>
        <w:ind w:left="340" w:hanging="332"/>
        <w:spacing w:after="0" w:line="263" w:lineRule="auto"/>
        <w:tabs>
          <w:tab w:leader="none" w:pos="3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Amendment may be executed in any number of counterparts, each of which shall be deemed an original and such counterparts together shall constitute one and the same instrument.</w:t>
      </w:r>
    </w:p>
    <w:p>
      <w:pPr>
        <w:spacing w:after="0" w:line="188" w:lineRule="exact"/>
        <w:rPr>
          <w:rFonts w:ascii="Arial" w:cs="Arial" w:eastAsia="Arial" w:hAnsi="Arial"/>
          <w:sz w:val="22"/>
          <w:szCs w:val="22"/>
          <w:color w:val="auto"/>
        </w:rPr>
      </w:pPr>
    </w:p>
    <w:p>
      <w:pPr>
        <w:jc w:val="both"/>
        <w:ind w:left="340" w:hanging="332"/>
        <w:spacing w:after="0" w:line="253" w:lineRule="auto"/>
        <w:tabs>
          <w:tab w:leader="none" w:pos="3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The provisions of Sections 17 through 19 (inclusive) of the Employment Agreement, as amended by this Amendment,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this Amendment, as if set out in this Amendment in full (except that any reference to "this Agreement" shall be construed as a reference to the "Amendment").</w:t>
      </w:r>
    </w:p>
    <w:p>
      <w:pPr>
        <w:spacing w:after="0" w:line="185" w:lineRule="exact"/>
        <w:rPr>
          <w:rFonts w:ascii="Arial" w:cs="Arial" w:eastAsia="Arial" w:hAnsi="Arial"/>
          <w:sz w:val="22"/>
          <w:szCs w:val="22"/>
          <w:color w:val="auto"/>
        </w:rPr>
      </w:pPr>
    </w:p>
    <w:p>
      <w:pPr>
        <w:jc w:val="both"/>
        <w:ind w:left="340" w:hanging="332"/>
        <w:spacing w:after="0" w:line="254" w:lineRule="auto"/>
        <w:tabs>
          <w:tab w:leader="none" w:pos="3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This Amendment shall be binding upon and inure to the benefit of and be enforceable by the respective successors and assigns of the parties hereto. The Employment Agreement, as amended by this Amendment, embodies the entire agreement and understanding between the parties hereto and supersedes all prior agreements and understandings relating to the subject matter hereof.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 signature page follows]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5" w:name="page66"/>
    <w:bookmarkEnd w:id="65"/>
    <w:p>
      <w:pPr>
        <w:spacing w:after="0" w:line="212" w:lineRule="exact"/>
        <w:rPr>
          <w:sz w:val="20"/>
          <w:szCs w:val="20"/>
          <w:color w:val="auto"/>
        </w:rPr>
      </w:pPr>
    </w:p>
    <w:p>
      <w:pPr>
        <w:ind w:left="1320"/>
        <w:spacing w:after="0"/>
        <w:rPr>
          <w:sz w:val="20"/>
          <w:szCs w:val="20"/>
          <w:color w:val="auto"/>
        </w:rPr>
      </w:pPr>
      <w:r>
        <w:rPr>
          <w:rFonts w:ascii="Arial" w:cs="Arial" w:eastAsia="Arial" w:hAnsi="Arial"/>
          <w:sz w:val="22"/>
          <w:szCs w:val="22"/>
          <w:b w:val="1"/>
          <w:bCs w:val="1"/>
          <w:color w:val="auto"/>
        </w:rPr>
        <w:t>SIGNATURE PAGE TO AMENDMENT TO EMPLOYMENT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Amendment as of the date first written above.</w:t>
      </w:r>
    </w:p>
    <w:p>
      <w:pPr>
        <w:spacing w:after="0" w:line="200" w:lineRule="exact"/>
        <w:rPr>
          <w:sz w:val="20"/>
          <w:szCs w:val="20"/>
          <w:color w:val="auto"/>
        </w:rPr>
      </w:pPr>
    </w:p>
    <w:p>
      <w:pPr>
        <w:spacing w:after="0" w:line="311"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ASCEND WELLNESS HOLDINGS, LLC</w:t>
      </w:r>
    </w:p>
    <w:p>
      <w:pPr>
        <w:spacing w:after="0" w:line="253"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Robin Debiase</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 Robin Debiase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 Chief People Officer</w:t>
      </w:r>
    </w:p>
    <w:p>
      <w:pPr>
        <w:spacing w:after="0" w:line="304"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EXECUTIVE</w:t>
      </w:r>
    </w:p>
    <w:p>
      <w:pPr>
        <w:spacing w:after="0" w:line="26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Abner Kurtin</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 Abner Kurtin</w:t>
      </w:r>
    </w:p>
    <w:p>
      <w:pPr>
        <w:sectPr>
          <w:pgSz w:w="11900" w:h="16838" w:orient="portrait"/>
          <w:cols w:equalWidth="0" w:num="1">
            <w:col w:w="9720"/>
          </w:cols>
          <w:pgMar w:left="980" w:top="1440" w:right="1199" w:bottom="1440" w:gutter="0" w:footer="0" w:header="0"/>
        </w:sectPr>
      </w:pPr>
    </w:p>
    <w:bookmarkStart w:id="66" w:name="page67"/>
    <w:bookmarkEnd w:id="66"/>
    <w:p>
      <w:pPr>
        <w:jc w:val="center"/>
        <w:ind w:right="-299"/>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The Executive shall perform the following duties and responsibilities on behalf of the Company:</w:t>
      </w:r>
    </w:p>
    <w:p>
      <w:pPr>
        <w:spacing w:after="0" w:line="24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Chair monthly management meetings;</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Chair mid-month catch-up call with the Company’s senior officers and executives;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Chair weekly meetings with the co-chief executive officers of the Company;</w:t>
      </w:r>
    </w:p>
    <w:p>
      <w:pPr>
        <w:spacing w:after="0" w:line="3" w:lineRule="exact"/>
        <w:rPr>
          <w:rFonts w:ascii="Arial" w:cs="Arial" w:eastAsia="Arial" w:hAnsi="Arial"/>
          <w:sz w:val="22"/>
          <w:szCs w:val="22"/>
          <w:color w:val="auto"/>
        </w:rPr>
      </w:pPr>
    </w:p>
    <w:p>
      <w:pPr>
        <w:ind w:left="660" w:right="100" w:hanging="328"/>
        <w:spacing w:after="0" w:line="243"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22"/>
          <w:szCs w:val="22"/>
          <w:color w:val="auto"/>
        </w:rPr>
        <w:t>Chair meetings and discussions regarding employee compensation and benefits matters, including, without limitation, changes in any employee’s salary in the amount of $50,000 or more, and bonuses, benefits, and other compensation/benefits changes outside of the annual budgeted amount;</w:t>
      </w:r>
    </w:p>
    <w:p>
      <w:pPr>
        <w:spacing w:after="0" w:line="1" w:lineRule="exact"/>
        <w:rPr>
          <w:rFonts w:ascii="Arial" w:cs="Arial" w:eastAsia="Arial" w:hAnsi="Arial"/>
          <w:sz w:val="22"/>
          <w:szCs w:val="22"/>
          <w:color w:val="auto"/>
        </w:rPr>
      </w:pPr>
    </w:p>
    <w:p>
      <w:pPr>
        <w:ind w:left="660" w:right="240" w:hanging="328"/>
        <w:spacing w:after="0" w:line="249"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22"/>
          <w:szCs w:val="22"/>
          <w:color w:val="auto"/>
        </w:rPr>
        <w:t>Chair meetings and discussions regarding the hiring, terminating, or promoting of any senior officers and executives (senior vice president and above);</w:t>
      </w:r>
    </w:p>
    <w:p>
      <w:pPr>
        <w:spacing w:after="0" w:line="1" w:lineRule="exact"/>
        <w:rPr>
          <w:rFonts w:ascii="Arial" w:cs="Arial" w:eastAsia="Arial" w:hAnsi="Arial"/>
          <w:sz w:val="22"/>
          <w:szCs w:val="22"/>
          <w:color w:val="auto"/>
        </w:rPr>
      </w:pPr>
    </w:p>
    <w:p>
      <w:pPr>
        <w:ind w:left="660" w:right="540" w:hanging="328"/>
        <w:spacing w:after="0" w:line="281" w:lineRule="auto"/>
        <w:tabs>
          <w:tab w:leader="none" w:pos="655" w:val="left"/>
        </w:tabs>
        <w:numPr>
          <w:ilvl w:val="0"/>
          <w:numId w:val="38"/>
        </w:numPr>
        <w:rPr>
          <w:rFonts w:ascii="Arial" w:cs="Arial" w:eastAsia="Arial" w:hAnsi="Arial"/>
          <w:sz w:val="19"/>
          <w:szCs w:val="19"/>
          <w:color w:val="auto"/>
        </w:rPr>
      </w:pPr>
      <w:r>
        <w:rPr>
          <w:rFonts w:ascii="Arial" w:cs="Arial" w:eastAsia="Arial" w:hAnsi="Arial"/>
          <w:sz w:val="19"/>
          <w:szCs w:val="19"/>
          <w:color w:val="auto"/>
        </w:rPr>
        <w:t>Chair capital allocation meetings, including, without limitation, meetings regarding mergers and acquisitions, re-organizations, financings, capital expenditures, and other capital allocation meetings; and</w:t>
      </w:r>
    </w:p>
    <w:p>
      <w:pPr>
        <w:spacing w:after="0" w:line="1" w:lineRule="exact"/>
        <w:rPr>
          <w:rFonts w:ascii="Arial" w:cs="Arial" w:eastAsia="Arial" w:hAnsi="Arial"/>
          <w:sz w:val="19"/>
          <w:szCs w:val="19"/>
          <w:color w:val="auto"/>
        </w:rPr>
      </w:pPr>
    </w:p>
    <w:p>
      <w:pPr>
        <w:ind w:left="660" w:right="400" w:hanging="328"/>
        <w:spacing w:after="0" w:line="246" w:lineRule="auto"/>
        <w:tabs>
          <w:tab w:leader="none" w:pos="655" w:val="left"/>
        </w:tabs>
        <w:numPr>
          <w:ilvl w:val="0"/>
          <w:numId w:val="38"/>
        </w:numPr>
        <w:rPr>
          <w:rFonts w:ascii="Arial" w:cs="Arial" w:eastAsia="Arial" w:hAnsi="Arial"/>
          <w:sz w:val="22"/>
          <w:szCs w:val="22"/>
          <w:color w:val="auto"/>
        </w:rPr>
      </w:pPr>
      <w:r>
        <w:rPr>
          <w:rFonts w:ascii="Arial" w:cs="Arial" w:eastAsia="Arial" w:hAnsi="Arial"/>
          <w:sz w:val="22"/>
          <w:szCs w:val="22"/>
          <w:color w:val="auto"/>
        </w:rPr>
        <w:t>Shall be available to the co-Chief Executive Officers and Investor Relations Executives for external meetings with investors and lenders on an as needed basis.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Executive shall have no day-to-day operating role in the Company’s operations.</w:t>
      </w:r>
    </w:p>
    <w:p>
      <w:pPr>
        <w:spacing w:after="0" w:line="247"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The Company shall ensure that the Executive Shall be alerted promptly by email or phone call of all operating, strategic, and business decisions that are expected to have an impact on the Company’s business in excess of a USD$1,000,000 difference to plan, and the Executive shall be available by email and/or phone call to receive such alerts.</w:t>
      </w:r>
    </w:p>
    <w:p>
      <w:pPr>
        <w:spacing w:after="0" w:line="200" w:lineRule="exact"/>
        <w:rPr>
          <w:sz w:val="20"/>
          <w:szCs w:val="20"/>
          <w:color w:val="auto"/>
        </w:rPr>
      </w:pPr>
    </w:p>
    <w:p>
      <w:pPr>
        <w:spacing w:after="0" w:line="27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40"/>
          </w:cols>
          <w:pgMar w:left="320" w:top="1422" w:right="6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Frank Perullo, certify that:</w:t>
      </w:r>
    </w:p>
    <w:p>
      <w:pPr>
        <w:spacing w:after="0" w:line="171"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November 14, 2022</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Perullo</w:t>
            </w:r>
          </w:p>
        </w:tc>
      </w:tr>
      <w:tr>
        <w:trPr>
          <w:trHeight w:val="222"/>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Frank Perullo</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Co-Chief Executive Officer,</w:t>
            </w:r>
          </w:p>
        </w:tc>
      </w:tr>
      <w:tr>
        <w:trPr>
          <w:trHeight w:val="188"/>
        </w:trPr>
        <w:tc>
          <w:tcPr>
            <w:tcW w:w="6680" w:type="dxa"/>
            <w:vAlign w:val="bottom"/>
          </w:tcPr>
          <w:p>
            <w:pPr>
              <w:spacing w:after="0"/>
              <w:rPr>
                <w:sz w:val="16"/>
                <w:szCs w:val="16"/>
                <w:color w:val="auto"/>
              </w:rPr>
            </w:pP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President and Co-Founder</w:t>
            </w:r>
          </w:p>
        </w:tc>
      </w:tr>
      <w:tr>
        <w:trPr>
          <w:trHeight w:val="230"/>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(Interim Co-Principal Executive Officer)</w:t>
            </w:r>
          </w:p>
        </w:tc>
      </w:tr>
    </w:tbl>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CO-CHIEF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Neville, certify that:</w:t>
      </w:r>
    </w:p>
    <w:p>
      <w:pPr>
        <w:spacing w:after="0" w:line="171"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November 14, 2022</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Co-Chief Executive Officer</w:t>
            </w:r>
          </w:p>
        </w:tc>
      </w:tr>
      <w:tr>
        <w:trPr>
          <w:trHeight w:val="188"/>
        </w:trPr>
        <w:tc>
          <w:tcPr>
            <w:tcW w:w="6680" w:type="dxa"/>
            <w:vAlign w:val="bottom"/>
          </w:tcPr>
          <w:p>
            <w:pPr>
              <w:spacing w:after="0"/>
              <w:rPr>
                <w:sz w:val="16"/>
                <w:szCs w:val="16"/>
                <w:color w:val="auto"/>
              </w:rPr>
            </w:pP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(Interim Co-Principal Executive Officer) and</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Ascend Wellness Holdings, Inc. (the “Company”) for the quarter ended September 30, 2022, as filed with the Securities and Exchange Commission on the date hereof (the “Report”), Frank Perullo, Interim Co-Chief Executive Officer, President and Co-Founder of the Company, and Daniel Neville, Interim Co-Chief Executive Officer and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34" w:lineRule="exact"/>
        <w:rPr>
          <w:sz w:val="20"/>
          <w:szCs w:val="20"/>
          <w:color w:val="auto"/>
        </w:rPr>
      </w:pPr>
    </w:p>
    <w:p>
      <w:pPr>
        <w:ind w:left="720" w:hanging="388"/>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November 14, 2022</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Perullo</w:t>
            </w:r>
          </w:p>
        </w:tc>
      </w:tr>
      <w:tr>
        <w:trPr>
          <w:trHeight w:val="222"/>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Frank Perullo</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Co-Chief Executive Officer,</w:t>
            </w:r>
          </w:p>
        </w:tc>
      </w:tr>
      <w:tr>
        <w:trPr>
          <w:trHeight w:val="188"/>
        </w:trPr>
        <w:tc>
          <w:tcPr>
            <w:tcW w:w="6680" w:type="dxa"/>
            <w:vAlign w:val="bottom"/>
          </w:tcPr>
          <w:p>
            <w:pPr>
              <w:spacing w:after="0"/>
              <w:rPr>
                <w:sz w:val="16"/>
                <w:szCs w:val="16"/>
                <w:color w:val="auto"/>
              </w:rPr>
            </w:pP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President and Co-Founder</w:t>
            </w:r>
          </w:p>
        </w:tc>
      </w:tr>
      <w:tr>
        <w:trPr>
          <w:trHeight w:val="230"/>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(Interim Co-Principal Executive Officer)</w:t>
            </w:r>
          </w:p>
        </w:tc>
      </w:tr>
      <w:tr>
        <w:trPr>
          <w:trHeight w:val="783"/>
        </w:trPr>
        <w:tc>
          <w:tcPr>
            <w:tcW w:w="6680" w:type="dxa"/>
            <w:vAlign w:val="bottom"/>
          </w:tcPr>
          <w:p>
            <w:pPr>
              <w:spacing w:after="0"/>
              <w:rPr>
                <w:sz w:val="20"/>
                <w:szCs w:val="20"/>
                <w:color w:val="auto"/>
              </w:rPr>
            </w:pPr>
            <w:r>
              <w:rPr>
                <w:rFonts w:ascii="Arial" w:cs="Arial" w:eastAsia="Arial" w:hAnsi="Arial"/>
                <w:sz w:val="18"/>
                <w:szCs w:val="18"/>
                <w:color w:val="auto"/>
              </w:rPr>
              <w:t>November 14, 2022</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Co-Chief Executive Officer</w:t>
            </w:r>
          </w:p>
        </w:tc>
      </w:tr>
      <w:tr>
        <w:trPr>
          <w:trHeight w:val="175"/>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Co-Principal Executive Officer) and</w:t>
            </w:r>
          </w:p>
        </w:tc>
      </w:tr>
      <w:tr>
        <w:trPr>
          <w:trHeight w:val="188"/>
        </w:trPr>
        <w:tc>
          <w:tcPr>
            <w:tcW w:w="6680" w:type="dxa"/>
            <w:vAlign w:val="bottom"/>
          </w:tcPr>
          <w:p>
            <w:pPr>
              <w:spacing w:after="0"/>
              <w:rPr>
                <w:sz w:val="16"/>
                <w:szCs w:val="16"/>
                <w:color w:val="auto"/>
              </w:rPr>
            </w:pP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4"/>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9"/>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2"/>
    </w:lvl>
  </w:abstractNum>
  <w:abstractNum w:abstractNumId="16">
    <w:nsid w:val="2901D82"/>
    <w:multiLevelType w:val="hybridMultilevel"/>
    <w:lvl w:ilvl="0">
      <w:lvlJc w:val="left"/>
      <w:lvlText w:val="%1."/>
      <w:numFmt w:val="decimal"/>
      <w:start w:val="13"/>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5"/>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lowerRoman"/>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lvl w:ilvl="1">
      <w:lvlJc w:val="left"/>
      <w:lvlText w:val="%2)"/>
      <w:numFmt w:val="lowerLetter"/>
      <w:start w:val="1"/>
    </w:lvl>
  </w:abstractNum>
  <w:abstractNum w:abstractNumId="34">
    <w:nsid w:val="5C482A97"/>
    <w:multiLevelType w:val="hybridMultilevel"/>
    <w:lvl w:ilvl="0">
      <w:lvlJc w:val="left"/>
      <w:lvlText w:val="%1)"/>
      <w:numFmt w:val="lowerLetter"/>
      <w:start w:val="5"/>
    </w:lvl>
  </w:abstractNum>
  <w:abstractNum w:abstractNumId="35">
    <w:nsid w:val="2463B9EA"/>
    <w:multiLevelType w:val="hybridMultilevel"/>
    <w:lvl w:ilvl="0">
      <w:lvlJc w:val="left"/>
      <w:lvlText w:val="%1."/>
      <w:numFmt w:val="decimal"/>
      <w:start w:val="2"/>
    </w:lvl>
  </w:abstractNum>
  <w:abstractNum w:abstractNumId="36">
    <w:nsid w:val="5E884ADC"/>
    <w:multiLevelType w:val="hybridMultilevel"/>
    <w:lvl w:ilvl="0">
      <w:lvlJc w:val="left"/>
      <w:lvlText w:val="%1."/>
      <w:numFmt w:val="decimal"/>
      <w:start w:val="5"/>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02" Type="http://schemas.openxmlformats.org/officeDocument/2006/relationships/hyperlink" Target="https://www.sec.gov/Archives/edgar/data/1756390/000162828021007411/exhibit34-sx1a2.htm" TargetMode="External"/><Relationship Id="rId103" Type="http://schemas.openxmlformats.org/officeDocument/2006/relationships/hyperlink" Target="https://www.sec.gov/Archives/edgar/data/1756390/000162828021007411/exhibit35-sx1a2.htm" TargetMode="External"/><Relationship Id="rId104" Type="http://schemas.openxmlformats.org/officeDocument/2006/relationships/hyperlink" Target="https://www.sec.gov/Archives/edgar/data/1756390/000162828021013670/exhibit42-sx8.htm" TargetMode="External"/><Relationship Id="rId105" Type="http://schemas.openxmlformats.org/officeDocument/2006/relationships/hyperlink" Target="https://www.sec.gov/Archives/edgar/data/1756390/000162828021013670/exhibit43-sx8.htm" TargetMode="External"/><Relationship Id="rId106" Type="http://schemas.openxmlformats.org/officeDocument/2006/relationships/hyperlink" Target="https://www.sec.gov/Archives/edgar/data/1756390/000162828021006948/exhibit41-sx1a1.htm" TargetMode="External"/><Relationship Id="rId107" Type="http://schemas.openxmlformats.org/officeDocument/2006/relationships/hyperlink" Target="https://www.sec.gov/Archives/edgar/data/1756390/000162828021007411/exhibit42-sx1a2.htm" TargetMode="External"/><Relationship Id="rId108" Type="http://schemas.openxmlformats.org/officeDocument/2006/relationships/hyperlink" Target="https://www.sec.gov/Archives/edgar/data/1756390/000162828022022910/formofwarra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2022-11-14T20:30:56Z</dcterms:created>
  <dcterms:modified xsi:type="dcterms:W3CDTF">2022-11-14T20:30:56Z</dcterms:modified>
</cp:coreProperties>
</file>