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pPr>
      <w:r>
        <w:rPr/>
      </w:r>
    </w:p>
    <w:p>
      <w:pPr>
        <w:pStyle w:val="TextBody"/>
        <w:bidi w:val="0"/>
        <w:spacing w:before="0" w:after="24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2023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 to______</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333-254800 </w:t>
      </w:r>
    </w:p>
    <w:p>
      <w:pPr>
        <w:pStyle w:val="TextBody"/>
        <w:bidi w:val="0"/>
        <w:spacing w:before="0" w:after="0"/>
        <w:jc w:val="center"/>
        <w:rPr/>
      </w:pPr>
      <w:r>
        <w:rPr/>
        <w:drawing>
          <wp:inline distT="0" distB="0" distL="0" distR="0">
            <wp:extent cx="238125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876300"/>
                    </a:xfrm>
                    <a:prstGeom prst="rect">
                      <a:avLst/>
                    </a:prstGeom>
                  </pic:spPr>
                </pic:pic>
              </a:graphicData>
            </a:graphic>
          </wp:inline>
        </w:drawing>
      </w:r>
    </w:p>
    <w:p>
      <w:pPr>
        <w:pStyle w:val="TextBody"/>
        <w:bidi w:val="0"/>
        <w:spacing w:lineRule="auto" w:line="288" w:before="240" w:after="283"/>
        <w:jc w:val="center"/>
        <w:rPr>
          <w:rFonts w:ascii="Times New Roman;sans-serif" w:hAnsi="Times New Roman;sans-serif"/>
          <w:b/>
          <w:color w:val="000000"/>
          <w:sz w:val="40"/>
        </w:rPr>
      </w:pPr>
      <w:r>
        <w:rPr>
          <w:rFonts w:ascii="Times New Roman;sans-serif" w:hAnsi="Times New Roman;sans-serif"/>
          <w:b/>
          <w:color w:val="000000"/>
          <w:sz w:val="40"/>
        </w:rPr>
        <w:t>ASCEND WELLNESS HOLDINGS, INC.</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83-0602006</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1411 Broadway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16th Floor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New York, NY 10018</w: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(646) 661-7600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 None</w:t>
      </w:r>
    </w:p>
    <w:tbl>
      <w:tblPr>
        <w:tblW w:w="7552" w:type="dxa"/>
        <w:jc w:val="center"/>
        <w:tblInd w:w="0" w:type="dxa"/>
        <w:tblLayout w:type="fixed"/>
        <w:tblCellMar>
          <w:top w:w="28" w:type="dxa"/>
          <w:left w:w="28" w:type="dxa"/>
          <w:bottom w:w="28" w:type="dxa"/>
          <w:right w:w="28" w:type="dxa"/>
        </w:tblCellMar>
      </w:tblPr>
      <w:tblGrid>
        <w:gridCol w:w="570"/>
        <w:gridCol w:w="499"/>
        <w:gridCol w:w="505"/>
        <w:gridCol w:w="109"/>
        <w:gridCol w:w="109"/>
        <w:gridCol w:w="109"/>
        <w:gridCol w:w="539"/>
        <w:gridCol w:w="539"/>
        <w:gridCol w:w="541"/>
        <w:gridCol w:w="109"/>
        <w:gridCol w:w="109"/>
        <w:gridCol w:w="109"/>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7, 2023, there were 205,688,362 shares of the registrant’s Class A common stock, par value $0.001, and 65,000 shares of the registrant’s Class B common stock, par value $0.001,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351" w:type="dxa"/>
        <w:jc w:val="left"/>
        <w:tblInd w:w="0" w:type="dxa"/>
        <w:tblLayout w:type="fixed"/>
        <w:tblCellMar>
          <w:top w:w="28" w:type="dxa"/>
          <w:left w:w="28" w:type="dxa"/>
          <w:bottom w:w="28" w:type="dxa"/>
          <w:right w:w="28" w:type="dxa"/>
        </w:tblCellMar>
      </w:tblPr>
      <w:tblGrid>
        <w:gridCol w:w="2891"/>
        <w:gridCol w:w="2542"/>
        <w:gridCol w:w="2546"/>
        <w:gridCol w:w="109"/>
        <w:gridCol w:w="109"/>
        <w:gridCol w:w="154"/>
      </w:tblGrid>
      <w:tr>
        <w:trPr/>
        <w:tc>
          <w:tcPr>
            <w:tcW w:w="2891"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d988900b2427988849398aa475118_10">
              <w:r>
                <w:rPr>
                  <w:rStyle w:val="InternetLink"/>
                  <w:rFonts w:ascii="Times New Roman;sans-serif" w:hAnsi="Times New Roman;sans-serif"/>
                  <w:b/>
                  <w:strike w:val="false"/>
                  <w:dstrike w:val="false"/>
                  <w:color w:val="000000"/>
                  <w:sz w:val="20"/>
                  <w:u w:val="none"/>
                  <w:effect w:val="none"/>
                </w:rPr>
                <w:t>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d988900b2427988849398aa475118_10">
              <w:r>
                <w:rPr>
                  <w:rStyle w:val="InternetLink"/>
                  <w:rFonts w:ascii="Times New Roman;sans-serif" w:hAnsi="Times New Roman;sans-serif"/>
                  <w:b w:val="false"/>
                  <w:color w:val="0000FF"/>
                  <w:sz w:val="20"/>
                  <w:u w:val="single"/>
                </w:rPr>
                <w:t>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d988900b2427988849398aa475118_13">
              <w:r>
                <w:rPr>
                  <w:rStyle w:val="InternetLink"/>
                  <w:rFonts w:ascii="Times New Roman;sans-serif" w:hAnsi="Times New Roman;sans-serif"/>
                  <w:b/>
                  <w:strike w:val="false"/>
                  <w:dstrike w:val="false"/>
                  <w:color w:val="000000"/>
                  <w:sz w:val="20"/>
                  <w:u w:val="none"/>
                  <w:effect w:val="non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d988900b2427988849398aa475118_13">
              <w:r>
                <w:rPr>
                  <w:rStyle w:val="InternetLink"/>
                  <w:rFonts w:ascii="Times New Roman;sans-serif" w:hAnsi="Times New Roman;sans-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d988900b2427988849398aa475118_16">
              <w:r>
                <w:rPr>
                  <w:rStyle w:val="InternetLink"/>
                  <w:rFonts w:ascii="Times New Roman;sans-serif" w:hAnsi="Times New Roman;sans-serif"/>
                  <w:b w:val="false"/>
                  <w:strike w:val="false"/>
                  <w:dstrike w:val="false"/>
                  <w:color w:val="000000"/>
                  <w:sz w:val="20"/>
                  <w:u w:val="none"/>
                  <w:effect w:val="none"/>
                </w:rPr>
                <w:t>Item 1. Condensed Consolidated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d988900b2427988849398aa475118_16">
              <w:r>
                <w:rPr>
                  <w:rStyle w:val="InternetLink"/>
                  <w:rFonts w:ascii="Times New Roman;sans-serif" w:hAnsi="Times New Roman;sans-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d988900b2427988849398aa475118_97">
              <w:r>
                <w:rPr>
                  <w:rStyle w:val="InternetLink"/>
                  <w:rFonts w:ascii="Times New Roman;sans-serif" w:hAnsi="Times New Roman;sans-serif"/>
                  <w:b w:val="false"/>
                  <w:strike w:val="false"/>
                  <w:dstrike w:val="false"/>
                  <w:color w:val="000000"/>
                  <w:sz w:val="20"/>
                  <w:u w:val="none"/>
                  <w:effect w:val="non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d988900b2427988849398aa475118_97">
              <w:r>
                <w:rPr>
                  <w:rStyle w:val="InternetLink"/>
                  <w:rFonts w:ascii="Times New Roman;sans-serif" w:hAnsi="Times New Roman;sans-serif"/>
                  <w:b w:val="false"/>
                  <w:color w:val="0000FF"/>
                  <w:sz w:val="20"/>
                  <w:u w:val="single"/>
                </w:rPr>
                <w:t>33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d988900b2427988849398aa475118_130">
              <w:r>
                <w:rPr>
                  <w:rStyle w:val="InternetLink"/>
                  <w:rFonts w:ascii="Times New Roman;sans-serif" w:hAnsi="Times New Roman;sans-serif"/>
                  <w:b w:val="false"/>
                  <w:strike w:val="false"/>
                  <w:dstrike w:val="false"/>
                  <w:color w:val="000000"/>
                  <w:sz w:val="20"/>
                  <w:u w:val="none"/>
                  <w:effect w:val="non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d988900b2427988849398aa475118_130">
              <w:r>
                <w:rPr>
                  <w:rStyle w:val="InternetLink"/>
                  <w:rFonts w:ascii="Times New Roman;sans-serif" w:hAnsi="Times New Roman;sans-serif"/>
                  <w:b w:val="false"/>
                  <w:color w:val="0000FF"/>
                  <w:sz w:val="20"/>
                  <w:u w:val="single"/>
                </w:rPr>
                <w:t>52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d988900b2427988849398aa475118_133">
              <w:r>
                <w:rPr>
                  <w:rStyle w:val="InternetLink"/>
                  <w:rFonts w:ascii="Times New Roman;sans-serif" w:hAnsi="Times New Roman;sans-serif"/>
                  <w:b w:val="false"/>
                  <w:strike w:val="false"/>
                  <w:dstrike w:val="false"/>
                  <w:color w:val="000000"/>
                  <w:sz w:val="20"/>
                  <w:u w:val="none"/>
                  <w:effect w:val="non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d988900b2427988849398aa475118_133">
              <w:r>
                <w:rPr>
                  <w:rStyle w:val="InternetLink"/>
                  <w:rFonts w:ascii="Times New Roman;sans-serif" w:hAnsi="Times New Roman;sans-serif"/>
                  <w:b w:val="false"/>
                  <w:color w:val="0000FF"/>
                  <w:sz w:val="20"/>
                  <w:u w:val="single"/>
                </w:rPr>
                <w:t>53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d988900b2427988849398aa475118_136">
              <w:r>
                <w:rPr>
                  <w:rStyle w:val="InternetLink"/>
                  <w:rFonts w:ascii="Times New Roman;sans-serif" w:hAnsi="Times New Roman;sans-serif"/>
                  <w:b/>
                  <w:strike w:val="false"/>
                  <w:dstrike w:val="false"/>
                  <w:color w:val="000000"/>
                  <w:sz w:val="20"/>
                  <w:u w:val="none"/>
                  <w:effect w:val="non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d988900b2427988849398aa475118_136">
              <w:r>
                <w:rPr>
                  <w:rStyle w:val="InternetLink"/>
                  <w:rFonts w:ascii="Times New Roman;sans-serif" w:hAnsi="Times New Roman;sans-serif"/>
                  <w:b w:val="false"/>
                  <w:color w:val="0000FF"/>
                  <w:sz w:val="20"/>
                  <w:u w:val="single"/>
                </w:rPr>
                <w:t>53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d988900b2427988849398aa475118_139">
              <w:r>
                <w:rPr>
                  <w:rStyle w:val="InternetLink"/>
                  <w:rFonts w:ascii="Times New Roman;sans-serif" w:hAnsi="Times New Roman;sans-serif"/>
                  <w:b w:val="false"/>
                  <w:strike w:val="false"/>
                  <w:dstrike w:val="false"/>
                  <w:color w:val="000000"/>
                  <w:sz w:val="20"/>
                  <w:u w:val="none"/>
                  <w:effect w:val="non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d988900b2427988849398aa475118_139">
              <w:r>
                <w:rPr>
                  <w:rStyle w:val="InternetLink"/>
                  <w:rFonts w:ascii="Times New Roman;sans-serif" w:hAnsi="Times New Roman;sans-serif"/>
                  <w:b w:val="false"/>
                  <w:color w:val="0000FF"/>
                  <w:sz w:val="20"/>
                  <w:u w:val="single"/>
                </w:rPr>
                <w:t>53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d988900b2427988849398aa475118_142">
              <w:r>
                <w:rPr>
                  <w:rStyle w:val="InternetLink"/>
                  <w:rFonts w:ascii="Times New Roman;sans-serif" w:hAnsi="Times New Roman;sans-serif"/>
                  <w:b w:val="false"/>
                  <w:strike w:val="false"/>
                  <w:dstrike w:val="false"/>
                  <w:color w:val="000000"/>
                  <w:sz w:val="20"/>
                  <w:u w:val="none"/>
                  <w:effect w:val="non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d988900b2427988849398aa475118_142">
              <w:r>
                <w:rPr>
                  <w:rStyle w:val="InternetLink"/>
                  <w:rFonts w:ascii="Times New Roman;sans-serif" w:hAnsi="Times New Roman;sans-serif"/>
                  <w:b w:val="false"/>
                  <w:color w:val="0000FF"/>
                  <w:sz w:val="20"/>
                  <w:u w:val="single"/>
                </w:rPr>
                <w:t>53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d988900b2427988849398aa475118_145">
              <w:r>
                <w:rPr>
                  <w:rStyle w:val="InternetLink"/>
                  <w:rFonts w:ascii="Times New Roman;sans-serif" w:hAnsi="Times New Roman;sans-serif"/>
                  <w:b w:val="false"/>
                  <w:strike w:val="false"/>
                  <w:dstrike w:val="false"/>
                  <w:color w:val="000000"/>
                  <w:sz w:val="20"/>
                  <w:u w:val="none"/>
                  <w:effect w:val="non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d988900b2427988849398aa475118_145">
              <w:r>
                <w:rPr>
                  <w:rStyle w:val="InternetLink"/>
                  <w:rFonts w:ascii="Times New Roman;sans-serif" w:hAnsi="Times New Roman;sans-serif"/>
                  <w:b w:val="false"/>
                  <w:color w:val="0000FF"/>
                  <w:sz w:val="20"/>
                  <w:u w:val="single"/>
                </w:rPr>
                <w:t>53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d988900b2427988849398aa475118_148">
              <w:r>
                <w:rPr>
                  <w:rStyle w:val="InternetLink"/>
                  <w:rFonts w:ascii="Times New Roman;sans-serif" w:hAnsi="Times New Roman;sans-serif"/>
                  <w:b w:val="false"/>
                  <w:strike w:val="false"/>
                  <w:dstrike w:val="false"/>
                  <w:color w:val="000000"/>
                  <w:sz w:val="20"/>
                  <w:u w:val="none"/>
                  <w:effect w:val="non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d988900b2427988849398aa475118_148">
              <w:r>
                <w:rPr>
                  <w:rStyle w:val="InternetLink"/>
                  <w:rFonts w:ascii="Times New Roman;sans-serif" w:hAnsi="Times New Roman;sans-serif"/>
                  <w:b w:val="false"/>
                  <w:color w:val="0000FF"/>
                  <w:sz w:val="20"/>
                  <w:u w:val="single"/>
                </w:rPr>
                <w:t>53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d988900b2427988849398aa475118_151">
              <w:r>
                <w:rPr>
                  <w:rStyle w:val="InternetLink"/>
                  <w:rFonts w:ascii="Times New Roman;sans-serif" w:hAnsi="Times New Roman;sans-serif"/>
                  <w:b w:val="false"/>
                  <w:strike w:val="false"/>
                  <w:dstrike w:val="false"/>
                  <w:color w:val="000000"/>
                  <w:sz w:val="20"/>
                  <w:u w:val="none"/>
                  <w:effect w:val="none"/>
                </w:rPr>
                <w:t>Item 4. Mine Safety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d988900b2427988849398aa475118_151">
              <w:r>
                <w:rPr>
                  <w:rStyle w:val="InternetLink"/>
                  <w:rFonts w:ascii="Times New Roman;sans-serif" w:hAnsi="Times New Roman;sans-serif"/>
                  <w:b w:val="false"/>
                  <w:color w:val="0000FF"/>
                  <w:sz w:val="20"/>
                  <w:u w:val="single"/>
                </w:rPr>
                <w:t>53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d988900b2427988849398aa475118_154">
              <w:r>
                <w:rPr>
                  <w:rStyle w:val="InternetLink"/>
                  <w:rFonts w:ascii="Times New Roman;sans-serif" w:hAnsi="Times New Roman;sans-serif"/>
                  <w:b w:val="false"/>
                  <w:strike w:val="false"/>
                  <w:dstrike w:val="false"/>
                  <w:color w:val="000000"/>
                  <w:sz w:val="20"/>
                  <w:u w:val="none"/>
                  <w:effect w:val="non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d988900b2427988849398aa475118_154">
              <w:r>
                <w:rPr>
                  <w:rStyle w:val="InternetLink"/>
                  <w:rFonts w:ascii="Times New Roman;sans-serif" w:hAnsi="Times New Roman;sans-serif"/>
                  <w:b w:val="false"/>
                  <w:color w:val="0000FF"/>
                  <w:sz w:val="20"/>
                  <w:u w:val="single"/>
                </w:rPr>
                <w:t>54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d988900b2427988849398aa475118_157">
              <w:r>
                <w:rPr>
                  <w:rStyle w:val="InternetLink"/>
                  <w:rFonts w:ascii="Times New Roman;sans-serif" w:hAnsi="Times New Roman;sans-serif"/>
                  <w:b w:val="false"/>
                  <w:strike w:val="false"/>
                  <w:dstrike w:val="false"/>
                  <w:color w:val="000000"/>
                  <w:sz w:val="20"/>
                  <w:u w:val="none"/>
                  <w:effect w:val="non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d988900b2427988849398aa475118_157">
              <w:r>
                <w:rPr>
                  <w:rStyle w:val="InternetLink"/>
                  <w:rFonts w:ascii="Times New Roman;sans-serif" w:hAnsi="Times New Roman;sans-serif"/>
                  <w:b w:val="false"/>
                  <w:color w:val="0000FF"/>
                  <w:sz w:val="20"/>
                  <w:u w:val="single"/>
                </w:rPr>
                <w:t>55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d988900b2427988849398aa475118_160">
              <w:r>
                <w:rPr>
                  <w:rStyle w:val="InternetLink"/>
                  <w:rFonts w:ascii="Times New Roman;sans-serif" w:hAnsi="Times New Roman;sans-serif"/>
                  <w:b/>
                  <w:strike w:val="false"/>
                  <w:dstrike w:val="false"/>
                  <w:color w:val="000000"/>
                  <w:sz w:val="20"/>
                  <w:u w:val="none"/>
                  <w:effect w:val="non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d988900b2427988849398aa475118_160">
              <w:r>
                <w:rPr>
                  <w:rStyle w:val="InternetLink"/>
                  <w:rFonts w:ascii="Times New Roman;sans-serif" w:hAnsi="Times New Roman;sans-serif"/>
                  <w:b w:val="false"/>
                  <w:color w:val="0000FF"/>
                  <w:sz w:val="20"/>
                  <w:u w:val="single"/>
                </w:rPr>
                <w:t>56</w:t>
              </w:r>
            </w:hyperlink>
          </w:p>
        </w:tc>
      </w:tr>
    </w:tbl>
    <w:p>
      <w:pPr>
        <w:pStyle w:val="TextBody"/>
        <w:bidi w:val="0"/>
        <w:spacing w:before="0" w:after="180"/>
        <w:ind w:left="0" w:right="0" w:firstLine="720"/>
        <w:jc w:val="right"/>
        <w:rPr/>
      </w:pPr>
      <w:r>
        <w:rPr/>
      </w:r>
    </w:p>
    <w:p>
      <w:pPr>
        <w:pStyle w:val="TextBody"/>
        <w:bidi w:val="0"/>
        <w:spacing w:before="0" w:after="180"/>
        <w:ind w:left="0" w:right="0" w:firstLine="72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for Ascend Wellness Holdings, Inc. and its subsidiaries (collectively referred to as “AWH,” “Ascend,” “we,” “us,” “our,” or the “Company”) contains both historical and forward-looking statements, within the meaning of the Private Securities Litigation Reform Act of 1995, and forward-looking information, within the meaning of applicable Canadian securities laws (collectively, “forward-looking statements”), that involve risks and uncertainties. We make forward-looking statements related to future expectations, estimates, and projections that are uncertain and often contain words such as, but not limited to,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the volatility of the market price and liquidity risks on shares of our Class A common stock;</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the voting control exercised by holders of Class B common stock;</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attract and maintain key personnel;</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continue to open new dispensaries and cultivation facilities as anticipated;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illegality of cannabis under federal law;</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comply with state and federal regulations;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uncertainty regarding enforcement of cannabis laws;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restricted access to banking and other financial services;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constraints on marketing and risks related to our products;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unfavorable tax treatment for cannabis businesses;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proposed legislation on our tax liabilities and financial performance;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security risks;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infringement or misappropriation claims by third parties;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comply with potential future U.S. Food and Drug Administration (the “FDA”) regulations;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enforce our contracts;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unfavorable publicity or consumer perception;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risks related to material acquisitions, dispositions and other strategic transactions;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agricultural and environmental risks;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climate change;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risks related to information technology systems;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unknown health impacts associated with the use of cannabis and cannabis derivative products;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product liability claims and other litigation to which we may be subjected;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risks related to the results of future clinical research;</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intense competition in the industry;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the maturation of the cannabis market;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adverse changes in the wholesale and retail prices;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sustained inflation;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political and economic instability;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outbreaks of pandemic diseases, fear of such outbreaks or economic disturbances due to such outbreaks, particularly the impact of the COVID-19 pandemic;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effect of general economic risks, such as the unemployment level, interest rates, and inflation, and challenging global economic conditions.</w:t>
      </w:r>
      <w:r>
        <w:rPr>
          <w:color w:val="EE2724"/>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list of factors above is illustrative and by no means exhaustive. Additional information regarding these risks and other risks and uncertainties we face is contained in our Annual Report on Form 10-K for the year ended December 31, 2022 (the “Annual Report”) and in other reports we may file from time to time with the United States Securities and Exchange Commission and the applicable Canadian securities regulatory authorities (including all amendments to those reports). Although the Company has attempted to identify important factors that could cause actual results to differ materially from those contained in forward-looking statements, there may be other factors that cause results not to be as anticipated, estimated, or intended.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 The forward-looking statements contained in this Form 10-Q are expressly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61"/>
        <w:gridCol w:w="2225"/>
        <w:gridCol w:w="2233"/>
        <w:gridCol w:w="207"/>
        <w:gridCol w:w="779"/>
        <w:gridCol w:w="115"/>
        <w:gridCol w:w="109"/>
        <w:gridCol w:w="109"/>
        <w:gridCol w:w="109"/>
        <w:gridCol w:w="244"/>
        <w:gridCol w:w="918"/>
        <w:gridCol w:w="196"/>
      </w:tblGrid>
      <w:tr>
        <w:trPr/>
        <w:tc>
          <w:tcPr>
            <w:tcW w:w="2961"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thousands, except per share amounts)</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receivable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213,143 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198,743 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267,117 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221,093 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44,370 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899,560 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872,160 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debt, net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lease liabilities, current </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124,653 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110,949 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300,784 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319,297 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260,463 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229,816 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733,605 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708,745 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15)</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per share; 10,000 shares authorized, none issued and outstanding as of June 30, 2023 and December 31, 2022</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$0.001 par value per share; 750,000 shares authorized; 204,825 and 187,999 shares issued and outstanding at June 30, 2023 and December 31, 2022</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$0.001 par value per share, 100 shares authorized; 65 issued and outstanding at June 30, 2023 and December 31, 2022</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450,529 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430,375 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(284,779)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(267,148)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165,955 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163,415 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899,560 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872,160 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03225"/>
                <wp:effectExtent l="0" t="0" r="0" b="0"/>
                <wp:wrapNone/>
                <wp:docPr id="7" name="Frame6"/>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52"/>
        <w:gridCol w:w="1500"/>
        <w:gridCol w:w="1505"/>
        <w:gridCol w:w="196"/>
        <w:gridCol w:w="736"/>
        <w:gridCol w:w="109"/>
        <w:gridCol w:w="109"/>
        <w:gridCol w:w="109"/>
        <w:gridCol w:w="109"/>
        <w:gridCol w:w="196"/>
        <w:gridCol w:w="692"/>
        <w:gridCol w:w="109"/>
        <w:gridCol w:w="109"/>
        <w:gridCol w:w="109"/>
        <w:gridCol w:w="109"/>
        <w:gridCol w:w="196"/>
        <w:gridCol w:w="736"/>
        <w:gridCol w:w="109"/>
        <w:gridCol w:w="109"/>
        <w:gridCol w:w="109"/>
        <w:gridCol w:w="109"/>
        <w:gridCol w:w="196"/>
        <w:gridCol w:w="736"/>
        <w:gridCol w:w="156"/>
      </w:tblGrid>
      <w:tr>
        <w:trPr/>
        <w:tc>
          <w:tcPr>
            <w:tcW w:w="2052"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5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thousands,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income (expense)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(48,987)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per share attributable to Class A and Class B common stockholders — 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common shares outstanding — basic and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03225"/>
                <wp:effectExtent l="0" t="0" r="0" b="0"/>
                <wp:wrapNone/>
                <wp:docPr id="8" name="Frame7"/>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034"/>
        <w:gridCol w:w="805"/>
        <w:gridCol w:w="777"/>
        <w:gridCol w:w="368"/>
        <w:gridCol w:w="368"/>
        <w:gridCol w:w="211"/>
        <w:gridCol w:w="121"/>
        <w:gridCol w:w="121"/>
        <w:gridCol w:w="121"/>
        <w:gridCol w:w="232"/>
        <w:gridCol w:w="470"/>
        <w:gridCol w:w="121"/>
        <w:gridCol w:w="109"/>
        <w:gridCol w:w="109"/>
        <w:gridCol w:w="109"/>
        <w:gridCol w:w="295"/>
        <w:gridCol w:w="1111"/>
        <w:gridCol w:w="164"/>
        <w:gridCol w:w="109"/>
        <w:gridCol w:w="109"/>
        <w:gridCol w:w="109"/>
        <w:gridCol w:w="252"/>
        <w:gridCol w:w="981"/>
        <w:gridCol w:w="143"/>
        <w:gridCol w:w="109"/>
        <w:gridCol w:w="109"/>
        <w:gridCol w:w="109"/>
        <w:gridCol w:w="109"/>
        <w:gridCol w:w="109"/>
        <w:gridCol w:w="109"/>
        <w:gridCol w:w="109"/>
        <w:gridCol w:w="196"/>
        <w:gridCol w:w="736"/>
        <w:gridCol w:w="161"/>
      </w:tblGrid>
      <w:tr>
        <w:trPr/>
        <w:tc>
          <w:tcPr>
            <w:tcW w:w="103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9"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1420" w:type="dxa"/>
            <w:gridSpan w:val="6"/>
            <w:tcBorders/>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559" w:type="dxa"/>
            <w:gridSpan w:val="16"/>
            <w:tcBorders/>
          </w:tcPr>
          <w:p>
            <w:pPr>
              <w:pStyle w:val="TableContents"/>
              <w:bidi w:val="0"/>
              <w:spacing w:before="0" w:after="283"/>
              <w:jc w:val="left"/>
              <w:rPr>
                <w:sz w:val="4"/>
                <w:szCs w:val="4"/>
              </w:rPr>
            </w:pPr>
            <w:r>
              <w:rPr>
                <w:sz w:val="4"/>
                <w:szCs w:val="4"/>
              </w:rPr>
            </w:r>
          </w:p>
        </w:tc>
      </w:tr>
      <w:tr>
        <w:trPr/>
        <w:tc>
          <w:tcPr>
            <w:tcW w:w="2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and Class B </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thousands)</w:t>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188,064 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430,375 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(267,148)</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163,415 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equity-based payment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4,555 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withheld under equity-based compensation plans,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189,566 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434,392 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(285,620)</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148,961 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in private placement, net of offering expenses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in acquisitions or asset purchases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4,770 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equity-based payment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4,457 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withheld under equity-based compensation plans,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2023</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204,890 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450,529 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(284,779)</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165,955 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1033"/>
        <w:gridCol w:w="805"/>
        <w:gridCol w:w="776"/>
        <w:gridCol w:w="368"/>
        <w:gridCol w:w="368"/>
        <w:gridCol w:w="211"/>
        <w:gridCol w:w="121"/>
        <w:gridCol w:w="121"/>
        <w:gridCol w:w="121"/>
        <w:gridCol w:w="232"/>
        <w:gridCol w:w="470"/>
        <w:gridCol w:w="121"/>
        <w:gridCol w:w="109"/>
        <w:gridCol w:w="109"/>
        <w:gridCol w:w="109"/>
        <w:gridCol w:w="295"/>
        <w:gridCol w:w="1112"/>
        <w:gridCol w:w="164"/>
        <w:gridCol w:w="109"/>
        <w:gridCol w:w="109"/>
        <w:gridCol w:w="109"/>
        <w:gridCol w:w="253"/>
        <w:gridCol w:w="981"/>
        <w:gridCol w:w="143"/>
        <w:gridCol w:w="109"/>
        <w:gridCol w:w="109"/>
        <w:gridCol w:w="109"/>
        <w:gridCol w:w="109"/>
        <w:gridCol w:w="109"/>
        <w:gridCol w:w="109"/>
        <w:gridCol w:w="109"/>
        <w:gridCol w:w="196"/>
        <w:gridCol w:w="736"/>
        <w:gridCol w:w="161"/>
      </w:tblGrid>
      <w:tr>
        <w:trPr/>
        <w:tc>
          <w:tcPr>
            <w:tcW w:w="103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1"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2022</w:t>
            </w:r>
          </w:p>
        </w:tc>
        <w:tc>
          <w:tcPr>
            <w:tcW w:w="1420" w:type="dxa"/>
            <w:gridSpan w:val="6"/>
            <w:tcBorders/>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and Class B </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thousands)</w:t>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171,586 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362,555 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(186,249)</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176,477 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equity-based payment rewards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14,306 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withheld under equity-based compensation plans,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(4,942)</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2022</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174,457 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371,916 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(214,064)</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158,026 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in acquisitions or asset purchases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42,944 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42,957 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equity-based payment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(21,172)</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2022</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187,495 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421,669 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(235,236)</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186,620 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03225"/>
                <wp:effectExtent l="0" t="0" r="0" b="0"/>
                <wp:wrapNone/>
                <wp:docPr id="9" name="Frame8"/>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188" w:type="dxa"/>
        <w:jc w:val="left"/>
        <w:tblInd w:w="0" w:type="dxa"/>
        <w:tblLayout w:type="fixed"/>
        <w:tblCellMar>
          <w:top w:w="28" w:type="dxa"/>
          <w:left w:w="28" w:type="dxa"/>
          <w:bottom w:w="28" w:type="dxa"/>
          <w:right w:w="28" w:type="dxa"/>
        </w:tblCellMar>
      </w:tblPr>
      <w:tblGrid>
        <w:gridCol w:w="2444"/>
        <w:gridCol w:w="2149"/>
        <w:gridCol w:w="2156"/>
        <w:gridCol w:w="196"/>
        <w:gridCol w:w="721"/>
        <w:gridCol w:w="109"/>
        <w:gridCol w:w="109"/>
        <w:gridCol w:w="109"/>
        <w:gridCol w:w="109"/>
        <w:gridCol w:w="196"/>
        <w:gridCol w:w="736"/>
        <w:gridCol w:w="154"/>
      </w:tblGrid>
      <w:tr>
        <w:trPr/>
        <w:tc>
          <w:tcPr>
            <w:tcW w:w="2444"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6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(48,987)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Adjustments to reconcile net loss to net cash provided by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sale of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effects of acquisitions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capital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notes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Collection of notes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businesses, net of cash acquired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intangible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in private placement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debt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finance leases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withheld under equity-based compensation plans,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720"/>
        <w:jc w:val="both"/>
        <w:rPr/>
      </w:pPr>
      <w:r>
        <w:rPr/>
      </w:r>
    </w:p>
    <w:p>
      <w:pPr>
        <w:pStyle w:val="TextBody"/>
        <w:bidi w:val="0"/>
        <w:spacing w:before="0" w:after="180"/>
        <w:ind w:left="0" w:right="0" w:firstLine="720"/>
        <w:jc w:val="both"/>
        <w:rPr/>
      </w:pPr>
      <w:r>
        <w:rPr/>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03225"/>
                <wp:effectExtent l="0" t="0" r="0" b="0"/>
                <wp:wrapNone/>
                <wp:docPr id="10" name="Frame9"/>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(CONTINUED, UNAUDITED)</w:t>
      </w:r>
    </w:p>
    <w:p>
      <w:pPr>
        <w:pStyle w:val="TextBody"/>
        <w:bidi w:val="0"/>
        <w:spacing w:before="0" w:after="0"/>
        <w:jc w:val="center"/>
        <w:rPr/>
      </w:pPr>
      <w:r>
        <w:rPr/>
      </w:r>
    </w:p>
    <w:tbl>
      <w:tblPr>
        <w:tblW w:w="6609" w:type="dxa"/>
        <w:jc w:val="left"/>
        <w:tblInd w:w="0" w:type="dxa"/>
        <w:tblLayout w:type="fixed"/>
        <w:tblCellMar>
          <w:top w:w="28" w:type="dxa"/>
          <w:left w:w="28" w:type="dxa"/>
          <w:bottom w:w="28" w:type="dxa"/>
          <w:right w:w="28" w:type="dxa"/>
        </w:tblCellMar>
      </w:tblPr>
      <w:tblGrid>
        <w:gridCol w:w="1568"/>
        <w:gridCol w:w="1379"/>
        <w:gridCol w:w="1388"/>
        <w:gridCol w:w="196"/>
        <w:gridCol w:w="646"/>
        <w:gridCol w:w="109"/>
        <w:gridCol w:w="109"/>
        <w:gridCol w:w="109"/>
        <w:gridCol w:w="109"/>
        <w:gridCol w:w="196"/>
        <w:gridCol w:w="646"/>
        <w:gridCol w:w="154"/>
      </w:tblGrid>
      <w:tr>
        <w:trPr/>
        <w:tc>
          <w:tcPr>
            <w:tcW w:w="1568"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 net of refunds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incurred but not yet paid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in business acquisitions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withheld under equity-based compensation plans,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for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42,957 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Warrants issued with notes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incurred but not yet paid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03225"/>
                <wp:effectExtent l="0" t="0" r="0" b="0"/>
                <wp:wrapNone/>
                <wp:docPr id="11" name="Frame10"/>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jc w:val="left"/>
        <w:rPr>
          <w:rFonts w:ascii="Times New Roman;sans-serif" w:hAnsi="Times New Roman;sans-serif"/>
          <w:b/>
          <w:color w:val="000000"/>
          <w:sz w:val="20"/>
        </w:rPr>
      </w:pPr>
      <w:r>
        <w:rPr>
          <w:rFonts w:ascii="Times New Roman;sans-serif" w:hAnsi="Times New Roman;sans-serif"/>
          <w:b/>
          <w:color w:val="000000"/>
          <w:sz w:val="20"/>
        </w:rPr>
        <w:t>1. THE COMPANY AND NATURE OF OPERATIONS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Ascend Wellness Holdings, Inc., which operates through its subsidiaries (collectively referred to as “AWH,” “Ascend,” “we,” “us,” “our,” or the “Company”), is a vertically integrated multi-state operator in the United States cannabis industry. AWH owns, manages, and operates cannabis cultivation facilities and dispensaries in several states across the United States, including Illinois, Maryland, Massachusetts, Michigan, Ohio, New Jersey, and Pennsylvania. Our core business is the cultivation, manufacturing, and distribution of cannabis consumer packaged goods, which are sold through company-owned retail stores and to third-party licensed retail cannabis stores. AWH is headquartered in New York, New York.</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Shares of the Company’s Class A common stock are listed on the Canadian Securities Exchange (the “CSE”) under the ticker symbol “AAWH.U” and are quoted on the OTCQX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Best Market (the “OTCQX”) under the symbol “AAWH.”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2. BASIS OF PRESENTATION AND SIGNIFICANT ACCOUNTING POLICIES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interim financial statements have been prepared in accordance with (i) United States generally accepted accounting principles (“U.S. GAAP”) for interim financial information, and (ii) the instructions to Form 10-Q and Article 10 of Regulation S-X. In the opinion of our management, our unaudited condensed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or any other period. The Financial Statements should be read in conjunction with our audited consolidated financial statements (and notes thereto) in our Annual Report on Form 10-K for the year ended December 31, 2022 (the “Annual Report”), as filed with the United States Securities and Exchange Commission (“SEC”) and with the relevant Canadian securities regulatory authorities under its profile on the System for Electronic Document Analysis and Retrieval Plus (“SEDAR+”). Except as noted below, there have been no material changes to the Company’s significant accounting policies and estimates during the six months ended June 30, 2023.</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Statements include the accounts of Ascend Wellness Holdings, Inc. and its subsidiaries. Refer to Note 8, “Variable Interest Entities,” for additional information regarding certain entities that are not wholly-owned by the Company. We include the results of acquired businesses in the consolidated statements of operations from their respective acquisition dates. All intercompany accounts and transactions have been eliminated in consolidation.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round amounts in the Financial Statements to thousands, except per unit or per share amounts or as otherwise stated. We calculate all percentages, per-unit, and per-share data from the underlying whole-dollar amounts. Thus, certain amounts may not foot, crossfoot, or recalculate based on reported numbers due to rounding. Unless otherwise indicated, all references to years are to our fiscal year, which ends on December 31.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under federal securities laws and as such we are able to elect to follow scaled disclosure requirements for this filing and can delay adopting new or revised accounting standards until such time as those standards apply to private companies.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prior year amounts have been reclassified to conform with our current period presentation. These changes had no impact on our previously reported net loss.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reflected in the Financial Statements, the Company had an accumulated deficit as of June 30, 2023 and December 31, 2022, as well as a net loss for the six months ended June 30, 2023 and 2022, which are indicators that raise substantial doubt of our ability to continue as a going concern. Management believes that substantial doubt of our ability to continue as a going concern for at least one year from the issuance of these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Cash and Cash Equivalents and Restricted Cash</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we did not hold significant restricted cash or cash equivalents.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and 2022, we had no transfers of assets or liabilities between any of the hierarchy levels.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assets and liabilities that are measured at fair value on a recurring basis, we are also required to measure certain assets at fair value on a non-recurring basis that are subject to fair value adjustments in specific circumstances. These assets can include: goodwill; intangible assets; property and equipment; and lease related right-of use assets. We estimate the fair value of these assets using primarily unobservable Level 3 inputs.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Basic and Diluted Earnings (Loss) per Share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computes earnings (loss) per share (“EPS”) using the two-class method required for multiple classes of common stock. The rights, including the liquidation and dividend rights, of the Class A common stock and Class B common stock are substantially identical, except for voting and conversion rights. As the liquidation and dividend rights are identical, undistributed earnings are allocated on a proportionate basis to each class of common stock and the resulting basic and diluted net loss per share attributable to common stockholders are, therefore, the same for both Class A and Class B common stock on both an individual and combined basis.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EPS is computed by dividing net income or loss by the weighted average number of common shares outstanding during the period. Diluted EPS reflects potential dilution and is computed by dividing net income or loss by the weighted average number of common shares outstanding during the period increased by the number of additional common shares that would have been outstanding if all potential common shares had been issued and were dilutive. However, potentially dilutive securities are excluded from the computation of diluted EPS to the extent that their effect is anti-dilutive. Potential dilutive securities include incremental shares of common stock issuable upon the exercise of warrants, unvested restricted stock awards, unvested restricted stock units, and outstanding stock options. At June 30, 2023 and 2022, 24,133 and 13,294 shares of common stock equivalents, respectively, were excluded from the calculation of diluted EPS because their inclusion would have been anti-dilutive.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restricted stock granted by us are considered to be legally issued and outstanding as of the date of grant, notwithstanding that the shares remain subject to the risk of forfeiture if the vesting conditions for such shares are not met, and are included in the number of shares of Class A common stock outstanding disclosed on the cover page of this Quarterly Report on Form 10-Q. Weighted-average common shares outstanding excludes time-based and performance-based unvested shares of restricted Class A common stock, as restricted shares are treated as issued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outstanding for financial statement presentation purposes only after such shares have vested and, therefore, have ceased to be subject to a risk of forfeiture.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Recently Adopted Accounting Standards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standards have been recently adopted by the Company. Recently effective standards that are not applicable to the Company or where it has been determined do not have a significant impact on us have been excluded herein.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Financial Instruments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On January 1, 2023, the Company adopted Accounting Standards Update (“ASU”) 2016-13, </w:t>
      </w:r>
      <w:r>
        <w:rPr>
          <w:rFonts w:ascii="Times New Roman;sans-serif" w:hAnsi="Times New Roman;sans-serif"/>
          <w:b w:val="false"/>
          <w:i/>
          <w:color w:val="000000"/>
          <w:sz w:val="20"/>
        </w:rPr>
        <w:t>Financial Instruments – Credit Losses (Topic 326): Measurement of Credit Losses on Financial Instruments</w:t>
      </w:r>
      <w:r>
        <w:rPr>
          <w:rFonts w:ascii="Times New Roman;sans-serif" w:hAnsi="Times New Roman;sans-serif"/>
          <w:b w:val="false"/>
          <w:color w:val="000000"/>
          <w:sz w:val="20"/>
        </w:rPr>
        <w:t>, (“ASU 2016-13”) and the related subsequent amendments, transitional guidance, and other interpretive guidance within ASU 2019-05, ASU 2019-11, ASU 2020-03, and ASU 2022-02 (collectively, including ASU 2016-13, “ASC 326”). ASC 326 replaces the guidance surrounding measurement and recognition of credit losses on financial assets measured at amortized cost, including trade receivables and investments in certain debt securities, by requiring recognition of an allowance for credit losses expected to be incurred over an asset’s life based on relevant information about past events, current conditions, and supportable forecasts impacting its ultimate collectability. This current expected credit losses (“CECL”) model results in earlier recognition of credit losses than the previous “as incurred” model, under which losses are recognized only upon the occurrence of an event that gives rise to the incurrence of a probable loss.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ASU 2019-05, </w:t>
      </w:r>
      <w:r>
        <w:rPr>
          <w:rFonts w:ascii="Times New Roman;sans-serif" w:hAnsi="Times New Roman;sans-serif"/>
          <w:b w:val="false"/>
          <w:i/>
          <w:color w:val="000000"/>
          <w:sz w:val="20"/>
        </w:rPr>
        <w:t>Financial Instruments – Credit Losses (Topic 326): Targeted Transition Relief</w:t>
      </w:r>
      <w:r>
        <w:rPr>
          <w:rFonts w:ascii="Times New Roman;sans-serif" w:hAnsi="Times New Roman;sans-serif"/>
          <w:b w:val="false"/>
          <w:color w:val="000000"/>
          <w:sz w:val="20"/>
        </w:rPr>
        <w:t xml:space="preserve">, was issued in May 2019 to provide target transition relief allowing entities to make an irrevocable one-time election upon adoption of the new credit losses standard to measure financial assets previously measured at amortized cost (except held-to-maturity securities) using the fair value option.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adoption of this guidance, the Company’s estimation of allowance for doubtful accounts related to trade receivables considers factors such as historical credit loss experience, age of receivable balances, current market conditions, and an assessment of receivables due from specific identifiable counterparties to determine whether these receivables are considered at risk or uncollectible. Additionally, the Company’s estimation of allowances on notes receivable, as applicable, incorporates historical loss information, the financial condition of loan recipients, and various other economic conditions. The adoption of this guidance did not have a significant impact on our consolidated financial statements.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standards have been recently issued by the Financial Accounting Standards Board (“FASB”). Pronouncements that are not applicable to the Company or where it has been determined do not have a significant impact on us have been excluded herein.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Reference Rate Reform</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In March 2020, the FASB issued ASU 2020-04, </w:t>
      </w:r>
      <w:r>
        <w:rPr>
          <w:rFonts w:ascii="Times New Roman;sans-serif" w:hAnsi="Times New Roman;sans-serif"/>
          <w:b w:val="false"/>
          <w:i/>
          <w:color w:val="000000"/>
          <w:sz w:val="20"/>
        </w:rPr>
        <w:t>Reference Rate Reform (Topic 848): Facilitation of the Effects of Reference Rate Reform on Financial Reporting</w:t>
      </w:r>
      <w:r>
        <w:rPr>
          <w:rFonts w:ascii="Times New Roman;sans-serif" w:hAnsi="Times New Roman;sans-serif"/>
          <w:b w:val="false"/>
          <w:color w:val="000000"/>
          <w:sz w:val="20"/>
        </w:rPr>
        <w:t xml:space="preserve">, which provides optional expedients and exceptions for applying U.S. GAAP to contracts, hedging relationships, and other transactions that reference LIBOR or another reference rate expected to be discontinued because of reference rate reform. This guidance was effective upon issuance as of March 12, 2020 and could be adopted as reference rate reform activities occurred through December 31, 2022. In December 2022, the FASB issued ASU 2022-06, </w:t>
      </w:r>
      <w:r>
        <w:rPr>
          <w:rFonts w:ascii="Times New Roman;sans-serif" w:hAnsi="Times New Roman;sans-serif"/>
          <w:b w:val="false"/>
          <w:i/>
          <w:color w:val="000000"/>
          <w:sz w:val="20"/>
        </w:rPr>
        <w:t>Reference Rate Reform (Topic 848): Deferral of the Sunset Date of Topic 848</w:t>
      </w:r>
      <w:r>
        <w:rPr>
          <w:rFonts w:ascii="Times New Roman;sans-serif" w:hAnsi="Times New Roman;sans-serif"/>
          <w:b w:val="false"/>
          <w:color w:val="000000"/>
          <w:sz w:val="20"/>
        </w:rPr>
        <w:t>, to extend the</w:t>
      </w:r>
      <w:r>
        <w:rPr>
          <w:color w:val="000000"/>
        </w:rPr>
        <w:t xml:space="preserve"> </w:t>
      </w:r>
      <w:r>
        <w:rPr>
          <w:rFonts w:ascii="Times New Roman;sans-serif" w:hAnsi="Times New Roman;sans-serif"/>
          <w:b w:val="false"/>
          <w:color w:val="000000"/>
          <w:sz w:val="20"/>
        </w:rPr>
        <w:t xml:space="preserve">sunset date of the transition guidance included in ASU 2020-04 to December 31, 2024. This guidance can be adopted prospectively as reference rate reform activities occur, with early adoption permitted, and is not expected to have a material impact on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3. REPORTABLE SEGMENTS AND REVENUE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under one operating segment, which is its only reportable segment: the production and sale of cannabis products. The Company prepares its segment reporting on the same basis that its Chief Operating Decision Maker manages the business and makes operating decisions. The Company’s measure of segment performance is net income and derives its revenue primarily from the sale of cannabis products. All of the Company’s operations are located in the United States.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disaggregates its revenue from the direct sale of cannabis to customers as retail revenue and wholesale revenue. We have determined that disaggregating revenue into these categories best depicts how the nature, amount, timing, and uncertainty of revenue and cash flows are affected by economic factors. </w:t>
      </w:r>
    </w:p>
    <w:tbl>
      <w:tblPr>
        <w:tblW w:w="8729" w:type="dxa"/>
        <w:jc w:val="left"/>
        <w:tblInd w:w="0" w:type="dxa"/>
        <w:tblLayout w:type="fixed"/>
        <w:tblCellMar>
          <w:top w:w="28" w:type="dxa"/>
          <w:left w:w="28" w:type="dxa"/>
          <w:bottom w:w="28" w:type="dxa"/>
          <w:right w:w="28" w:type="dxa"/>
        </w:tblCellMar>
      </w:tblPr>
      <w:tblGrid>
        <w:gridCol w:w="1168"/>
        <w:gridCol w:w="1026"/>
        <w:gridCol w:w="1030"/>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inter-company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liability related to the loyalty program we offer dispensary customers at certain locations was $845 and $672 at June 30, 2023 and December 31, 2022, respectively, and is included within “Other current liabilities” on the accompanying unaudited Condensed Consolidated Balance Sheets. The Company recorded $965 and $493 in allowance for doubtful accounts as of June 30, 2023 and December 31, 2022, respectively. Write-offs were not significant during the three and six months ended June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4. ACQUISITIONS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Business Combinations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The Company has determined that the acquisitions discussed below are considered business combinations under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and are accounted for by applying the acquisition method, whereby the assets acquired and the liabilities assumed are recorded at their fair values with any excess of the aggregate consideration over the fair values of the identifiable net assets allocated to goodwill. Operating results are included in these Financial Statements from the date of the acquisition.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2023 Acquisition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27, 2023, the Company acquired 100% of the membership interests of certain entities related to Devi Holdings, Inc. (“Devi”), pursuant to a definitive agreement that was entered into on January 25, 2023 (the “Maryland Agreement”). Through the Maryland Agreement, the Company acquired the four licensed medical cannabis dispensaries that Devi owned and operated in Maryland (“Devi Maryland”). Total consideration at closing consisted of cash consideration of $12,000, subject to customary closing conditions and working capital adjustments, and 5,185 shares of Class A common stock with an estimated fair value of $4,770 at issuance. Acquisition related costs incurred during the six months ended June 30, 2023 were not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Preliminary Purchase Price Allocation</w:t>
      </w:r>
    </w:p>
    <w:tbl>
      <w:tblPr>
        <w:tblW w:w="4859" w:type="dxa"/>
        <w:jc w:val="left"/>
        <w:tblInd w:w="0" w:type="dxa"/>
        <w:tblLayout w:type="fixed"/>
        <w:tblCellMar>
          <w:top w:w="28" w:type="dxa"/>
          <w:left w:w="28" w:type="dxa"/>
          <w:bottom w:w="28" w:type="dxa"/>
          <w:right w:w="28" w:type="dxa"/>
        </w:tblCellMar>
      </w:tblPr>
      <w:tblGrid>
        <w:gridCol w:w="1238"/>
        <w:gridCol w:w="1086"/>
        <w:gridCol w:w="1095"/>
        <w:gridCol w:w="276"/>
        <w:gridCol w:w="963"/>
        <w:gridCol w:w="201"/>
      </w:tblGrid>
      <w:tr>
        <w:trPr/>
        <w:tc>
          <w:tcPr>
            <w:tcW w:w="123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w:t>
            </w:r>
            <w:r>
              <w:rPr>
                <w:rFonts w:ascii="Times New Roman;sans-serif" w:hAnsi="Times New Roman;sans-serif"/>
                <w:b w:val="false"/>
                <w:i/>
                <w:color w:val="000000"/>
                <w:sz w:val="18"/>
                <w:u w:val="single"/>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Devi Maryland</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(liabilities assumed):</w:t>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other current assets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Property and equipment</w:t>
            </w:r>
            <w:r>
              <w:rPr>
                <w:rFonts w:ascii="Times New Roman;sans-serif" w:hAnsi="Times New Roman;sans-serif"/>
                <w:b w:val="false"/>
                <w:color w:val="000000"/>
                <w:sz w:val="13"/>
              </w:rPr>
              <w:t>(1)</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Licenses</w:t>
            </w:r>
            <w:r>
              <w:rPr>
                <w:rFonts w:ascii="Times New Roman;sans-serif" w:hAnsi="Times New Roman;sans-serif"/>
                <w:b w:val="false"/>
                <w:color w:val="000000"/>
                <w:sz w:val="13"/>
              </w:rPr>
              <w:t>(2)</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Goodwill</w:t>
            </w:r>
            <w:r>
              <w:rPr>
                <w:rFonts w:ascii="Times New Roman;sans-serif" w:hAnsi="Times New Roman;sans-serif"/>
                <w:b w:val="false"/>
                <w:color w:val="000000"/>
                <w:sz w:val="13"/>
              </w:rPr>
              <w:t>(3)</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assets acquired</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16,770</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transferred:</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Fair value of shares issued</w:t>
            </w:r>
            <w:r>
              <w:rPr>
                <w:rFonts w:ascii="Times New Roman;sans-serif" w:hAnsi="Times New Roman;sans-serif"/>
                <w:b w:val="false"/>
                <w:color w:val="000000"/>
                <w:sz w:val="13"/>
              </w:rPr>
              <w:t>(4)</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consideration</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16,770</w:t>
            </w: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Consists of: furniture, fixtures, and equipment of $953; land of $364; and buildings of $3,276.</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The amortization period of the acquired licenses is 10 years.</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 xml:space="preserve">Goodwill is largely attributable to the value we expect to obtain from long-term business growth and buyer-specific synergies. The Company is evaluating whether the goodwill is deductible for tax purposes under the limitations imposed under Internal Revenue Code (“IRC”) Section 280E. See Note 14, “Income Taxes,” for additional information. </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The seller received 5,185 shares of Class A common stock with a fair value of $4,770.</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for the three and six months ended June 30, 2023 include $1,729 of net revenue and $673 of net loss related to Devi Maryland. Pro forma financial information is not presented, as such results are immaterial to both the current and prior periods.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2022 Acquisition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October 14, 2022, the Company acquired Marichron Pharma LLC (“Marichron”), a medical cannabis processor in Ohio. The purchase price allocation remains preliminary as the Company finalizes certain estimates of the fair value of the net assets acquired within the measurement period. Our results of operations for the three and six months ended June 30, 2023 include $299 and $556 of net revenue, respectively, and $406 and $744 of net loss, respectively, related to Marichron. </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Asset Acquisitions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acquisitions below did not meet the definition of a business and are therefore accounted for as asset acquisitions. When the Company acquires assets and liabilities that do not constitute a business or variable interest entity (“VIE”) of which the Company is the primary beneficiary, the cost of each acquisition, including certain transaction costs, is allocated to the assets acquired and liabilities assumed on a relative fair value basis. Contingent consideration associated with the acquisition is generally recognized only when the contingency is resolved.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When the Company acquires assets and liabilities that do not constitute a business but meet the definition of a VIE of which the Company is the primary beneficiary, the purchase is accounted for using the acquisition method described above for business combinations, except that no goodwill is recognized. To the extent there is a difference between the purchase consideration, including the estimated fair value of contingent consideration, plus the estimated fair value of any non-controlling interest and the VIE’s identifiable assets and liabilities recorded and measured at fair value, the difference is recognized as a gain or loss. A non-controlling interest represents the non-affiliated equity interest in the underlying entity. Transaction costs are expensed.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2022 Asset Acquisitions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Story of PA</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19, 2022, the Company acquired Story of PA CR, LLC (“Story of PA”). Total consideration for the acquisition of the outstanding equity interests in Story of PA was $53,127, consisting of 12,900 shares of Class A common stock with a fair value of $42,957 and cash consideration of $10,170. Story of PA received a clinical registrant permit from the Pennsylvania Department of Health on March 1, 2022. Through a research collaboration agreement with the Geisinger Commonwealth School of Medicine (“Geisinger”), a Pennsylvania Department of Health-Certified Medical Marijuana Academic Clinical Research Center, the Company intends to open a cultivation and processing facility and up to six medical dispensaries throughout the Commonwealth of Pennsylvania. The Company will help fund clinical research to benefit the patients of Pennsylvania by contributing $30,000 to Geisinger over the two years following the transaction date and up to an additional total of $10,000 over the course of ten years following the transaction date.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acquisition cost in respect of the Story of PA acquisition was $137,594 and was allocated to the license intangible asset acquired. The total cost consists of the equity consideration, cash consideration, Geisinger funding commitment, other liabilities related to consulting agreements, forgiveness of the previously outstanding bridge loan, transaction costs, the initial cost of the investment, and an acquisition-related deferred tax liability of $37,391 that was recorded during the fourth quarter of 2022.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total funding commitment, $15,000 was paid in April 2022 and $15,000 remains outstanding and is included within “Accounts payable and other accrued liabilities” on the unaudited Condensed Consolidated Balance Sheet at June 30, 2023 and December 31, 2022. The additional $10,000 is included within “Other non-current liabilities” on the unaudited Condensed Consolidated Balance Sheet at June 30, 2023 and December 31, 2022. A total of $471 and $943 due under one of the consulting agreements was paid during the three and six months ended June 30, 2023, respectively, which includes the final required payment.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Ohio Patient Access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12, 2022, the Company entered into a definitive agreement (the “Ohio Agreement”) that provides the Company the option to acquire 100% of the equity of Ohio Patient Access LLC (“OPA”), the holder of a license that grants it the right to operate three medical dispensaries in Ohio, which operations have not yet commenced. The Ohio Agreement is subject to regulatory review and approval. Once the regulatory approval is received, the Company may exercise the option, and the exercise is solely within the Company’s control. The Company may exercise the option until the fifth anniversary of the agreement date or can elect to extend the exercise period for an additional year. Under the Ohio Agreement, the Company will also acquire the real property of the three dispensary locations. In conjunction with the Ohio Agreement, the parties also entered into a support services agreement under which the Company will provide management and advisory services to OPA for a set monthly fee.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parties also entered into a working capital loan agreement under which the Company may, at its full discretion, loan OPA up to $10,000 for general working capital needs.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per the Ohio Agreement consists of total cash consideration of $22,300. The Ohio Agreement also includes an earn-out provision of $7,300 that is dependent upon the commencement of adult-use cannabis sales in Ohio. The sellers may elect to receive the earn-out payment as either cash or shares of the Company’s Class A common stock, or a combination thereof. If the sellers elect to receive any or all of the payment in shares, the number of shares issued will be equal to the earn-out payment amount, or portion thereof, divided by the thirty-day volume weighted average price of the Class A shares immediately preceding the date the earn-out provision is achieved. If the sellers elect to receive Class A shares for the earn-out, those shares would be issued pursuant to the exemption from registration contained in Section 4(a)(2) of the Securities Act of 1933, as amended.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OPA is a VIE and the Company became the primary beneficiary as of the signing date; therefore, OPA is consolidated as a VIE. To account for the initial consolidation of OPA, management applied the acquisition method discussed above. The total estimated fair value of the transaction consideration was determined to be $24,132 and consists of the fair value of the cash consideration of $19,290 plus the initial estimated fair value of the contingent consideration of $4,842. Of the total cash consideration, $11,300 was funded at signing pursuant to note agreements. The $11,000 payment that is due at final closing (the “OPA Sellers’ Note”) was recorded net of a discount of $3,010 based on the estimated payment date utilizing the Company’s incremental borrowing rate and is included within “Long-term debt, net” on the accompanying unaudited Condensed Consolidated Balance Sheet at June 30, 2023 and December 31, 2022; refer to Note 11, “Debt,” for additional information. The license intangible asset acquired was determined to have an estimated fair value of $21,684 and the three properties had an estimated fair value of $2,448, which was determined using a market approach based on the total transaction consideration. The license acquired will be amortized in accordance with the Company’s policy once operations commence. </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The estimated fair value of the contingent consideration was determined utilizing an income approach based on a probability-weighted estimate of the future payment discounted using the Company’s estimated incremental borrowing rate and is classified within Level 3 of the fair value hierarchy. As of June 30, 2023 and December 31, 2022, the estimated fair value of this contingent consideration was $6,064 and $5,076, respectively, and is included within “Other non-current liabilities” on the accompanying unaudited Condensed Consolidated Balance Sheets. The $497 and $988 change in fair value during the three and six months ended June 30, 2023, respectively, is included within “General and administrative expenses” on the unaudited Condensed Consolidated Statement of Operations. Direct transaction expenses of $224 were incurred in the year ended December 31, 2022. The Company determined the fair value of any noncontrolling interest is </w:t>
      </w:r>
      <w:r>
        <w:rPr>
          <w:rFonts w:ascii="Times New Roman;sans-serif" w:hAnsi="Times New Roman;sans-serif"/>
          <w:b w:val="false"/>
          <w:i/>
          <w:color w:val="000000"/>
          <w:sz w:val="20"/>
        </w:rPr>
        <w:t>de minimis</w:t>
      </w:r>
      <w:r>
        <w:rPr>
          <w:rFonts w:ascii="Times New Roman;sans-serif" w:hAnsi="Times New Roman;sans-serif"/>
          <w:b w:val="false"/>
          <w:color w:val="000000"/>
          <w:sz w:val="20"/>
        </w:rPr>
        <w:t>. Refer to Note 8, “Variable Interest Entities,” for additional information regarding the Company’s VIEs.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Illinois Licenses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Company entered into definitive agreements to acquire two additional licenses in Illinois. Neither of these licenses were associated with active operations at signing and the transfer of each license is subject to regulatory review and approval.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One transaction was entered on August 11, 2022 for total cash consideration of $5,500. The Company accounted for this transaction as an asset acquisition and allocated the cash consideration as the cost of the license acquired. Of the total cash consideration, $3,000 was paid at signing and $2,500 is due at final closing, which the Company anticipates may occur within the twelve months following the commencement of operations at the associated location that began during the second quarter of 2023. In conjunction with the commencement of operations, the Company recorded a deferred tax liability of $2,414 , which was allocated to the license as additional cost basis. The closing payment is included as a sellers’ note within “Current portion of debt, net” on the accompanying unaudited Condensed Consolidated Balance Sheet at June 30, 2023 and “Long-term Debt, net” at December 31, 2022; refer to Note 11, “Debt,” for additional information.</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second transaction was entered on August 12, 2022 for total cash consideration of $5,600. The Company accounted for this transaction as an asset acquisition and allocated the cash consideration as the cost of the license acquired. The consideration will be paid at final closing and is included as a sellers’ note within “Long-term, debt, net” on the accompanying unaudited Condensed Consolidated Balance Sheet at June 30, 2023 and December 31, 2022; refer to Note 11, “Debt,” for additional information. Operations at the associated location have not yet commenced.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5. INVENTORY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inventory are as follows:</w:t>
      </w:r>
    </w:p>
    <w:tbl>
      <w:tblPr>
        <w:tblW w:w="5321" w:type="dxa"/>
        <w:jc w:val="left"/>
        <w:tblInd w:w="0" w:type="dxa"/>
        <w:tblLayout w:type="fixed"/>
        <w:tblCellMar>
          <w:top w:w="28" w:type="dxa"/>
          <w:left w:w="28" w:type="dxa"/>
          <w:bottom w:w="28" w:type="dxa"/>
          <w:right w:w="28" w:type="dxa"/>
        </w:tblCellMar>
      </w:tblPr>
      <w:tblGrid>
        <w:gridCol w:w="706"/>
        <w:gridCol w:w="621"/>
        <w:gridCol w:w="623"/>
        <w:gridCol w:w="258"/>
        <w:gridCol w:w="883"/>
        <w:gridCol w:w="133"/>
        <w:gridCol w:w="109"/>
        <w:gridCol w:w="109"/>
        <w:gridCol w:w="109"/>
        <w:gridCol w:w="344"/>
        <w:gridCol w:w="1175"/>
        <w:gridCol w:w="251"/>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 and supplies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89,552 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97,532 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compensation expense capitalized to inventory was $17,174 and $12,421 during the three months ended June 30, 2023 and 2022, respectively, and $34,295 and $25,555 during the six months ended June 30, 2023 and 2022, respectively. At June 30, 2023 and December 31, 2022, $10,064 and $15,920, respectively, of compensation expense remained capitalized as part of inventory. The Company recognized, as a component of cost of goods sold, total write-downs of $6,172 and $112 during the three months ended June 30, 2023 and 2022, respectively, and $10,114 and $2,316 during the six months ended June 30, 2023 and 2022, respectively, related to net realizable value adjustments, expired products, and obsolete packaging. These amounts are included within “Other” on the unaudited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6. NOTES RECEIVABLE</w:t>
      </w:r>
    </w:p>
    <w:tbl>
      <w:tblPr>
        <w:tblW w:w="6114" w:type="dxa"/>
        <w:jc w:val="left"/>
        <w:tblInd w:w="0" w:type="dxa"/>
        <w:tblLayout w:type="fixed"/>
        <w:tblCellMar>
          <w:top w:w="28" w:type="dxa"/>
          <w:left w:w="28" w:type="dxa"/>
          <w:bottom w:w="28" w:type="dxa"/>
          <w:right w:w="28" w:type="dxa"/>
        </w:tblCellMar>
      </w:tblPr>
      <w:tblGrid>
        <w:gridCol w:w="994"/>
        <w:gridCol w:w="874"/>
        <w:gridCol w:w="876"/>
        <w:gridCol w:w="258"/>
        <w:gridCol w:w="883"/>
        <w:gridCol w:w="133"/>
        <w:gridCol w:w="109"/>
        <w:gridCol w:w="109"/>
        <w:gridCol w:w="109"/>
        <w:gridCol w:w="380"/>
        <w:gridCol w:w="1110"/>
        <w:gridCol w:w="279"/>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Maryland Loan Receivable</w:t>
            </w:r>
            <w:r>
              <w:rPr>
                <w:rFonts w:ascii="Times New Roman;sans-serif" w:hAnsi="Times New Roman;sans-serif"/>
                <w:b w:val="false"/>
                <w:color w:val="000000"/>
                <w:sz w:val="13"/>
              </w:rPr>
              <w:t>(1)</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Massachusetts Note</w:t>
            </w:r>
            <w:r>
              <w:rPr>
                <w:rFonts w:ascii="Times New Roman;sans-serif" w:hAnsi="Times New Roman;sans-serif"/>
                <w:b w:val="false"/>
                <w:color w:val="000000"/>
                <w:sz w:val="13"/>
              </w:rPr>
              <w:t>(2)</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MMNY - working capital loan</w:t>
            </w:r>
            <w:r>
              <w:rPr>
                <w:rFonts w:ascii="Times New Roman;sans-serif" w:hAnsi="Times New Roman;sans-serif"/>
                <w:b w:val="false"/>
                <w:color w:val="000000"/>
                <w:sz w:val="13"/>
              </w:rPr>
              <w:t>(3)</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 June 2023, the Company purchased $12,027 of the outstanding principal, at par, of a loan agreement (the “Maryland Loan Receivable”), plus the associated interest receivable. The agreement underlying the Maryland Loan Receivable (the “Maryland Loan Agreement”) is with a cannabis license holder in Maryland, matures on August 1, 2026, and provides for a base interest rate of 12.0% plus LIBOR (LIBOR floor of 1.0%) and a paid-in-kind (“PIK”) interest rate of 4.50%. The Maryland Loan Agreement requires monthly repayments equal to 10.0% of the outstanding balance (including PIK interest) and may be prepaid, subject to a customary make-whole payment or prepayment penalty, as applicable. Mandatory prepayments are required from the proceeds of certain events. The Maryland Loan Agreement contains customary events of default including: non-payment of principal, interest, or other amounts due; violations of covenants; bankruptcy; change of control; cross defaults to other debt; and material judgments. The Maryland Loan Agreement is guaranteed by certain owners of the borrowing entity and is secured by substantially all of the assets of the borrowing entity, excluding certain cannabis-related assets where prohibited. The Maryland Loan Agreement contains financial covenants including: a minimum adjusted EBITDA; a minimum free cash flow; a maximum total leverage ratio; a minimum fixed charge coverage ratio, and a minimum cash balance, each as provided for in the Maryland Loan Agreement. The Maryland Loan Agreement also contains non-financial covenants including restrictions on: indebtedness; liens; fundamental changes; disposal of assets; issuance of stock; sale and leaseback transactions; capital expenditures; and certain other matters.</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recorded the Maryland Loan Receivable at an amortized cost basis of $12,622. A total of $595 of transaction-related expenses were capitalized as part of the amortized cost basis and will be amortized to interest income over the term, of which $483 remained outstanding as of June 30, 2023. The Company identified certain events of default and covenant violations as of June 30, 2023, including non-payment, and provided an acceleration notice declaring all amounts due and payable. During each of the three and six months ended June 30, 2023, the Company recognized a total of $965 of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income, including certain default fees and premiums and PIK interest, which total remained outstanding as of June 30, 2023 and is recorded within “Other, net” on the accompanying unaudited Condensed Consolidated Statements of Operations. As of June 30, 2023, the all-in interest rate was 26.6%, which included a default penalty of 5%. Following the replacement of LIBOR, effective July 1, 2023, the interest rate transitioned from LIBOR to the secured overnight financing rate (“SOFR”) plus an alternative reference rate committee (“ARRC”) standard adjustment.</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Additionally, during the three and six months ended June 30, 2023, the Company established a reserve of $1,804 for potential collectability that is included within “General and administrative expenses” on the accompanying unaudited Condensed Consolidated Statements of Operations and within “Other” on the unaudited Condensed Consolidated Statements of Cash Flows. </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In May 2022 the Company issued a secured promissory note to a retail dispensary license holder in Massachusetts providing up to $3,500 of funding (the “Massachusetts Note”). The Massachusetts Note accrues interest at a fixed annual rate of 11.5%. Following the opening of the borrower’s retail dispensary, which had not occurred as of June 30, 2023, the principal amount is due monthly through the maturity date of May 25, 2026. The borrower may prepay the outstanding principal amount, plus accrued interest thereon. Borrowings under the Massachusetts Note are secured by the assets of the borrower. The borrower is partially owned by an entity that is managed, in part, by one of the founders of the Company. Additionally, the Company transacts with the retail dispensary in the ordinary course of business.</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On February 25, 2021, the Company entered into a working capital advance agreement with MedMen NY, Inc. (“MMNY”), an unrelated third party, in conjunction with an Investment Agreement (as defined in Note 15, “Commitments and Contingencies”). The working capital advance agreement allows for initial maximum borrowings of up to $10,000, which may be increased to $17,500, and was issued to provide MMNY with additional funding for operations in conjunction with the Investment Agreement. Borrowings do not bear interest, but may be subject to a financing fee. The outstanding balance is due and payable at the earlier of the initial closing of the Investment Agreement or, if the Investment Agreement is terminated for certain specified reasons, three business days following such termination. The Company is pursuing collection of the amounts due under this working capital advance agreement through its legal proceedings against MMNY. Refer to Note 15, “Commitments and Contingencies,” for additional information.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impairment losses on notes receivable were recognized during the six months ended June 30, 2023 or 2022, other than as described above.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 total of $4,100 is outstanding at June 30, 2023 related to a promissory note issued to the owner of a property that the Company is leasing, of which $166 and $3,934 is included in “Other current assets” and “Other noncurrent assets,” respectively, on the unaudited Condensed Consolidated Balance Sheet. At December 31, 2022, $4,181 was outstanding, of which $163 and $4,018 is included in “Other current assets” and “Other noncurrent assets,” respectively, on the unaudited Condensed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7. PROPERTY AND EQUIPMENT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consists of the following:</w:t>
      </w:r>
    </w:p>
    <w:tbl>
      <w:tblPr>
        <w:tblW w:w="6249" w:type="dxa"/>
        <w:jc w:val="left"/>
        <w:tblInd w:w="0" w:type="dxa"/>
        <w:tblLayout w:type="fixed"/>
        <w:tblCellMar>
          <w:top w:w="28" w:type="dxa"/>
          <w:left w:w="28" w:type="dxa"/>
          <w:bottom w:w="28" w:type="dxa"/>
          <w:right w:w="28" w:type="dxa"/>
        </w:tblCellMar>
      </w:tblPr>
      <w:tblGrid>
        <w:gridCol w:w="1040"/>
        <w:gridCol w:w="916"/>
        <w:gridCol w:w="923"/>
        <w:gridCol w:w="234"/>
        <w:gridCol w:w="919"/>
        <w:gridCol w:w="121"/>
        <w:gridCol w:w="109"/>
        <w:gridCol w:w="109"/>
        <w:gridCol w:w="109"/>
        <w:gridCol w:w="313"/>
        <w:gridCol w:w="1228"/>
        <w:gridCol w:w="228"/>
      </w:tblGrid>
      <w:tr>
        <w:trPr/>
        <w:tc>
          <w:tcPr>
            <w:tcW w:w="10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174,099 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63,974 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gross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329,529 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326,162 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267,117 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279,860 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depreciation expense was $8,281 and $6,296 during the three months ended June 30, 2023 and 2022, respectively, and $16,427 and $11,674 during the six months ended June 30, 2023 and 2022, respectively. Total depreciation expense capitalized to inventory was $6,231 and $4,764 during the three months ended June 30, 2023 and 2022, respectively, and $12,401 and $8,972 during the six months ended June 30, 2023 and 2022, respectively. At June 30, 2023 and December 31, 2022, $5,601 and $6,548, respectively, of depreciation expense remained capitalized as part of inventory.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includes equipment with a gross value of $2,302 and $1,086 as of June 30, 2023 and December 31, 2022, respectively, and accumulated amortization of $271 and $89, respectively, that the Company is renting under finance leases pursuant to a master lease agreement that was entered into in June 2022 and allows for an aggregate of $15,000 of such leases. Refer to Note 10, “Leases,” for additional information regarding our lease arrangements.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2023, we recognized a loss of $323 related to the sale of one property that is included within “General and administrative expenses” on the unaudited Condensed Consolidated Statements of Operations, and wrote-off $317 of accumulated depreciation. Refer to Note 10, “Leases,” for additional information regarding this sale leaseback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8. VARIABLE INTEREST ENTITIES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all variable interests in the entity and use our judgment when determining if we are the primary beneficiary. Other qualitative factors that are considered include decision-making responsibilities, the VIE capital structure, risk and rewards sharing, contractual agreements with the VIE, voting rights, and level of involvement of other parties. We assess the primary beneficiary determination for a VIE on an ongoing basis if there are any changes in the facts and circumstances related to a VIE.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 we determine we are the primary beneficiary of a VIE, we consolidate the accounts of that VIE. The equity owned by other stockholders is shown as non-controlling interests in the accompanying unaudited Condensed Consolidated Balance Sheets, Statements of Operations, and Statements of Changes in Stockholders’ Equity. The assets of the VIE can only be used to settle obligations of that entity, and any creditors of that entity generally have no recourse to the assets of other entities or the Company unless the Company separately agrees to be subject to such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summarized financial information about the Company’s consolidated VIEs which are included in the unaudited Condensed Consolidated Balance Sheets as of June 30, 2023 and December 31, 2022 and in the unaudited Condensed Consolidated Statements of Operations for the three and six months ended June 30, 2023 and 2022, as applicable. These entities were determined to be VIEs since the Company possesses the power to direct the significant activities of the VIEs and has the obligation to absorb losses or the right to receive benefits from the VIEs. The information below excludes intercompany balances and activity that eliminate in consolidation. </w:t>
      </w:r>
    </w:p>
    <w:tbl>
      <w:tblPr>
        <w:tblW w:w="5816" w:type="dxa"/>
        <w:jc w:val="left"/>
        <w:tblInd w:w="0" w:type="dxa"/>
        <w:tblLayout w:type="fixed"/>
        <w:tblCellMar>
          <w:top w:w="28" w:type="dxa"/>
          <w:left w:w="28" w:type="dxa"/>
          <w:bottom w:w="28" w:type="dxa"/>
          <w:right w:w="28" w:type="dxa"/>
        </w:tblCellMar>
      </w:tblPr>
      <w:tblGrid>
        <w:gridCol w:w="728"/>
        <w:gridCol w:w="640"/>
        <w:gridCol w:w="642"/>
        <w:gridCol w:w="109"/>
        <w:gridCol w:w="109"/>
        <w:gridCol w:w="258"/>
        <w:gridCol w:w="883"/>
        <w:gridCol w:w="133"/>
        <w:gridCol w:w="109"/>
        <w:gridCol w:w="109"/>
        <w:gridCol w:w="109"/>
        <w:gridCol w:w="349"/>
        <w:gridCol w:w="1195"/>
        <w:gridCol w:w="180"/>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Ohio Patient Access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263" w:type="dxa"/>
            <w:gridSpan w:val="2"/>
            <w:tcBorders/>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776" w:type="dxa"/>
        <w:jc w:val="left"/>
        <w:tblInd w:w="0" w:type="dxa"/>
        <w:tblLayout w:type="fixed"/>
        <w:tblCellMar>
          <w:top w:w="28" w:type="dxa"/>
          <w:left w:w="28" w:type="dxa"/>
          <w:bottom w:w="28" w:type="dxa"/>
          <w:right w:w="28" w:type="dxa"/>
        </w:tblCellMar>
      </w:tblPr>
      <w:tblGrid>
        <w:gridCol w:w="554"/>
        <w:gridCol w:w="487"/>
        <w:gridCol w:w="488"/>
        <w:gridCol w:w="109"/>
        <w:gridCol w:w="109"/>
        <w:gridCol w:w="514"/>
        <w:gridCol w:w="990"/>
        <w:gridCol w:w="265"/>
        <w:gridCol w:w="109"/>
        <w:gridCol w:w="109"/>
        <w:gridCol w:w="109"/>
        <w:gridCol w:w="307"/>
        <w:gridCol w:w="1049"/>
        <w:gridCol w:w="158"/>
        <w:gridCol w:w="109"/>
        <w:gridCol w:w="109"/>
        <w:gridCol w:w="109"/>
        <w:gridCol w:w="514"/>
        <w:gridCol w:w="990"/>
        <w:gridCol w:w="265"/>
        <w:gridCol w:w="109"/>
        <w:gridCol w:w="109"/>
        <w:gridCol w:w="109"/>
        <w:gridCol w:w="279"/>
        <w:gridCol w:w="1092"/>
        <w:gridCol w:w="144"/>
        <w:gridCol w:w="109"/>
        <w:gridCol w:w="109"/>
        <w:gridCol w:w="109"/>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Ohio Patient Access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Ascend Illinois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Ohio Patient Access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Ascend Illinois</w:t>
            </w:r>
            <w:r>
              <w:rPr>
                <w:rFonts w:ascii="Times New Roman;sans-serif" w:hAnsi="Times New Roman;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64,914 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128,806 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 December 2022, following regulatory approvals for the title transfer of certain licenses, Ascend Illinois (including its subsidiaries) is wholly-owned by Ascend Wellness Holdings, Inc. and therefore is no longer considered a VIE as of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9. INTANGIBLE ASSETS AND GOODWILL</w:t>
      </w:r>
    </w:p>
    <w:tbl>
      <w:tblPr>
        <w:tblW w:w="5725" w:type="dxa"/>
        <w:jc w:val="left"/>
        <w:tblInd w:w="0" w:type="dxa"/>
        <w:tblLayout w:type="fixed"/>
        <w:tblCellMar>
          <w:top w:w="28" w:type="dxa"/>
          <w:left w:w="28" w:type="dxa"/>
          <w:bottom w:w="28" w:type="dxa"/>
          <w:right w:w="28" w:type="dxa"/>
        </w:tblCellMar>
      </w:tblPr>
      <w:tblGrid>
        <w:gridCol w:w="853"/>
        <w:gridCol w:w="750"/>
        <w:gridCol w:w="752"/>
        <w:gridCol w:w="234"/>
        <w:gridCol w:w="919"/>
        <w:gridCol w:w="121"/>
        <w:gridCol w:w="109"/>
        <w:gridCol w:w="109"/>
        <w:gridCol w:w="109"/>
        <w:gridCol w:w="313"/>
        <w:gridCol w:w="1228"/>
        <w:gridCol w:w="228"/>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Intangible Assets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 and permits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226,919 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In-place leases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258,726 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247,262 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 and permits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(13,035)</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In-place leases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(26,169)</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 net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220,730 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221,093 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pPr>
      <w:r>
        <w:rPr>
          <w:rFonts w:ascii="Times New Roman;sans-serif" w:hAnsi="Times New Roman;sans-serif"/>
          <w:b w:val="false"/>
          <w:color w:val="000000"/>
          <w:sz w:val="20"/>
        </w:rPr>
        <w:t>Amortization expense related to intangible assets was $5,676 and $1,931 during the three</w:t>
      </w:r>
      <w:r>
        <w:rPr>
          <w:color w:val="070707"/>
        </w:rPr>
        <w:t xml:space="preserve"> </w:t>
      </w:r>
      <w:r>
        <w:rPr>
          <w:rFonts w:ascii="Times New Roman;sans-serif" w:hAnsi="Times New Roman;sans-serif"/>
          <w:b w:val="false"/>
          <w:color w:val="070707"/>
          <w:sz w:val="20"/>
        </w:rPr>
        <w:t xml:space="preserve">months ended June 30, 2023 and 2022, respectively, and $11,827 and $3,901 during the six months ended June 30, 2023 and 2022, respectively. Total amortization expense capitalized to inventory was $686 and $406 during the </w:t>
      </w:r>
      <w:r>
        <w:rPr>
          <w:rFonts w:ascii="Times New Roman;sans-serif" w:hAnsi="Times New Roman;sans-serif"/>
          <w:b w:val="false"/>
          <w:color w:val="000000"/>
          <w:sz w:val="20"/>
        </w:rPr>
        <w:t>three</w:t>
      </w:r>
      <w:r>
        <w:rPr>
          <w:color w:val="070707"/>
        </w:rPr>
        <w:t xml:space="preserve"> </w:t>
      </w:r>
      <w:r>
        <w:rPr>
          <w:rFonts w:ascii="Times New Roman;sans-serif" w:hAnsi="Times New Roman;sans-serif"/>
          <w:b w:val="false"/>
          <w:color w:val="070707"/>
          <w:sz w:val="20"/>
        </w:rPr>
        <w:t xml:space="preserve">months ended June 30, 2023 and 2022, respectively, and $1,421 and $814 during the six months ended June 30, 2023 and 2022, respectively. </w:t>
      </w:r>
      <w:r>
        <w:rPr>
          <w:rFonts w:ascii="Times New Roman;sans-serif" w:hAnsi="Times New Roman;sans-serif"/>
          <w:b w:val="false"/>
          <w:color w:val="000000"/>
          <w:sz w:val="20"/>
        </w:rPr>
        <w:t xml:space="preserve">At June 30, 2023 and December 31, 2022, $1,040 and $1,101, respectively, of amortization expense remained capitalized as part of inventory. </w:t>
      </w:r>
    </w:p>
    <w:p>
      <w:pPr>
        <w:pStyle w:val="TextBody"/>
        <w:bidi w:val="0"/>
        <w:spacing w:lineRule="auto" w:line="288" w:before="0" w:after="180"/>
        <w:ind w:left="0" w:right="0" w:firstLine="720"/>
        <w:jc w:val="both"/>
        <w:rPr/>
      </w:pPr>
      <w:r>
        <w:rPr>
          <w:rFonts w:ascii="Times New Roman;sans-serif" w:hAnsi="Times New Roman;sans-serif"/>
          <w:b w:val="false"/>
          <w:color w:val="070707"/>
          <w:sz w:val="20"/>
        </w:rPr>
        <w:t xml:space="preserve">No impairment indicators were noted during the </w:t>
      </w:r>
      <w:r>
        <w:rPr>
          <w:rFonts w:ascii="Times New Roman;sans-serif" w:hAnsi="Times New Roman;sans-serif"/>
          <w:b w:val="false"/>
          <w:color w:val="000000"/>
          <w:sz w:val="20"/>
        </w:rPr>
        <w:t>six</w:t>
      </w:r>
      <w:r>
        <w:rPr>
          <w:color w:val="070707"/>
        </w:rPr>
        <w:t xml:space="preserve"> </w:t>
      </w:r>
      <w:r>
        <w:rPr>
          <w:rFonts w:ascii="Times New Roman;sans-serif" w:hAnsi="Times New Roman;sans-serif"/>
          <w:b w:val="false"/>
          <w:color w:val="070707"/>
          <w:sz w:val="20"/>
        </w:rPr>
        <w:t>months ended June 30, 2023 or 2022 and, as such, w</w:t>
      </w:r>
      <w:r>
        <w:rPr>
          <w:rFonts w:ascii="Times New Roman;sans-serif" w:hAnsi="Times New Roman;sans-serif"/>
          <w:b w:val="false"/>
          <w:color w:val="000000"/>
          <w:sz w:val="20"/>
        </w:rPr>
        <w:t xml:space="preserve">e did not record any impairment charges during either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Goodwill</w:t>
      </w:r>
    </w:p>
    <w:tbl>
      <w:tblPr>
        <w:tblW w:w="3932" w:type="dxa"/>
        <w:jc w:val="left"/>
        <w:tblInd w:w="0" w:type="dxa"/>
        <w:tblLayout w:type="fixed"/>
        <w:tblCellMar>
          <w:top w:w="28" w:type="dxa"/>
          <w:left w:w="28" w:type="dxa"/>
          <w:bottom w:w="28" w:type="dxa"/>
          <w:right w:w="28" w:type="dxa"/>
        </w:tblCellMar>
      </w:tblPr>
      <w:tblGrid>
        <w:gridCol w:w="912"/>
        <w:gridCol w:w="802"/>
        <w:gridCol w:w="805"/>
        <w:gridCol w:w="109"/>
        <w:gridCol w:w="109"/>
        <w:gridCol w:w="109"/>
        <w:gridCol w:w="211"/>
        <w:gridCol w:w="721"/>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10. LEASES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land, buildings, equipment, and other capital assets which it uses for corporate purposes and the production and sale of cannabis products with terms generally ranging from 1 to 20 years.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if an arrangement is a lease at inception and begin recording lease activity at the commencement date, which is generally the date in which we take possession of or control the physical use of the asset. Right-of-use (“ROU”) assets and lease liabilities are recognized based on the present value of lease payments over the lease term, with lease expense recognized on a straight-line basis. Lease agreements may contain rent escalation clauses, rent holidays, or certain landlord incentives, including tenant improvement allowances. ROU assets include amounts for scheduled rent increases and are reduced by lease incentive amounts.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 We typically exclude options to extend the lease in a lease term unless it is reasonably certain that we will exercise the option and when doing so is at our sole discretion. Our lease agreements generally do not contain any material residual value guarantees or material restrictive covenants. We may rent or sublease to third parties certain real property assets that we no longer use.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assets and lease liabilities and their classification on the unaudited Condensed Consolidated Balance Sheets were as follows:</w:t>
      </w:r>
    </w:p>
    <w:tbl>
      <w:tblPr>
        <w:tblW w:w="9077" w:type="dxa"/>
        <w:jc w:val="left"/>
        <w:tblInd w:w="0" w:type="dxa"/>
        <w:tblLayout w:type="fixed"/>
        <w:tblCellMar>
          <w:top w:w="28" w:type="dxa"/>
          <w:left w:w="28" w:type="dxa"/>
          <w:bottom w:w="28" w:type="dxa"/>
          <w:right w:w="28" w:type="dxa"/>
        </w:tblCellMar>
      </w:tblPr>
      <w:tblGrid>
        <w:gridCol w:w="686"/>
        <w:gridCol w:w="601"/>
        <w:gridCol w:w="602"/>
        <w:gridCol w:w="109"/>
        <w:gridCol w:w="109"/>
        <w:gridCol w:w="109"/>
        <w:gridCol w:w="1054"/>
        <w:gridCol w:w="1054"/>
        <w:gridCol w:w="1056"/>
        <w:gridCol w:w="109"/>
        <w:gridCol w:w="109"/>
        <w:gridCol w:w="109"/>
        <w:gridCol w:w="234"/>
        <w:gridCol w:w="919"/>
        <w:gridCol w:w="121"/>
        <w:gridCol w:w="109"/>
        <w:gridCol w:w="109"/>
        <w:gridCol w:w="109"/>
        <w:gridCol w:w="313"/>
        <w:gridCol w:w="1228"/>
        <w:gridCol w:w="228"/>
      </w:tblGrid>
      <w:tr>
        <w:trPr/>
        <w:tc>
          <w:tcPr>
            <w:tcW w:w="68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108,810 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132,362 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109,807 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liabilities, current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229,816 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265,553 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233,351 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and classification within the unaudited Condensed Consolidated Statements of Operations were as follows:</w:t>
      </w:r>
    </w:p>
    <w:tbl>
      <w:tblPr>
        <w:tblW w:w="8070" w:type="dxa"/>
        <w:jc w:val="left"/>
        <w:tblInd w:w="0" w:type="dxa"/>
        <w:tblLayout w:type="fixed"/>
        <w:tblCellMar>
          <w:top w:w="28" w:type="dxa"/>
          <w:left w:w="28" w:type="dxa"/>
          <w:bottom w:w="28" w:type="dxa"/>
          <w:right w:w="28" w:type="dxa"/>
        </w:tblCellMar>
      </w:tblPr>
      <w:tblGrid>
        <w:gridCol w:w="1119"/>
        <w:gridCol w:w="985"/>
        <w:gridCol w:w="986"/>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costs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to inventory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lease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 costs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Amortization of leased assets</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finance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Included as a component of depreciation expense within “General and administrative expenses” on the accompanying unaudited Condensed Consolidated Statements of Operations.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and December 31, 2022, $3,996 and $6,660, respectively, of lease costs remained capitalized in inventory.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on short-term and variable lease costs:</w:t>
      </w:r>
    </w:p>
    <w:tbl>
      <w:tblPr>
        <w:tblW w:w="8145" w:type="dxa"/>
        <w:jc w:val="left"/>
        <w:tblInd w:w="0" w:type="dxa"/>
        <w:tblLayout w:type="fixed"/>
        <w:tblCellMar>
          <w:top w:w="28" w:type="dxa"/>
          <w:left w:w="28" w:type="dxa"/>
          <w:bottom w:w="28" w:type="dxa"/>
          <w:right w:w="28" w:type="dxa"/>
        </w:tblCellMar>
      </w:tblPr>
      <w:tblGrid>
        <w:gridCol w:w="1222"/>
        <w:gridCol w:w="1075"/>
        <w:gridCol w:w="107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and variable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Sublease income generated during the three and six months ended June 30, 2023 and 2022 was immaterial.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supplemental cash and non-cash information related to our leases:</w:t>
      </w:r>
    </w:p>
    <w:tbl>
      <w:tblPr>
        <w:tblW w:w="8586" w:type="dxa"/>
        <w:jc w:val="left"/>
        <w:tblInd w:w="0" w:type="dxa"/>
        <w:tblLayout w:type="fixed"/>
        <w:tblCellMar>
          <w:top w:w="28" w:type="dxa"/>
          <w:left w:w="28" w:type="dxa"/>
          <w:bottom w:w="28" w:type="dxa"/>
          <w:right w:w="28" w:type="dxa"/>
        </w:tblCellMar>
      </w:tblPr>
      <w:tblGrid>
        <w:gridCol w:w="2100"/>
        <w:gridCol w:w="1845"/>
        <w:gridCol w:w="1860"/>
        <w:gridCol w:w="109"/>
        <w:gridCol w:w="109"/>
        <w:gridCol w:w="109"/>
        <w:gridCol w:w="211"/>
        <w:gridCol w:w="721"/>
        <w:gridCol w:w="109"/>
        <w:gridCol w:w="109"/>
        <w:gridCol w:w="109"/>
        <w:gridCol w:w="109"/>
        <w:gridCol w:w="211"/>
        <w:gridCol w:w="721"/>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new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14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weighted-average remaining lease term and discount rate:</w:t>
      </w:r>
    </w:p>
    <w:tbl>
      <w:tblPr>
        <w:tblW w:w="7388" w:type="dxa"/>
        <w:jc w:val="left"/>
        <w:tblInd w:w="0" w:type="dxa"/>
        <w:tblLayout w:type="fixed"/>
        <w:tblCellMar>
          <w:top w:w="28" w:type="dxa"/>
          <w:left w:w="28" w:type="dxa"/>
          <w:bottom w:w="28" w:type="dxa"/>
          <w:right w:w="28" w:type="dxa"/>
        </w:tblCellMar>
      </w:tblPr>
      <w:tblGrid>
        <w:gridCol w:w="1337"/>
        <w:gridCol w:w="1174"/>
        <w:gridCol w:w="1179"/>
        <w:gridCol w:w="109"/>
        <w:gridCol w:w="109"/>
        <w:gridCol w:w="109"/>
        <w:gridCol w:w="282"/>
        <w:gridCol w:w="282"/>
        <w:gridCol w:w="711"/>
        <w:gridCol w:w="109"/>
        <w:gridCol w:w="109"/>
        <w:gridCol w:w="109"/>
        <w:gridCol w:w="360"/>
        <w:gridCol w:w="360"/>
        <w:gridCol w:w="1049"/>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of future undiscounted cash flows related to the lease payments over the lease terms and the reconciliation to the present value of the lease liabilities as recorded on our unaudited Condensed Consolidated Balance Sheet as of June 30, 2023 are as follows:</w:t>
      </w:r>
    </w:p>
    <w:tbl>
      <w:tblPr>
        <w:tblW w:w="8029" w:type="dxa"/>
        <w:jc w:val="left"/>
        <w:tblInd w:w="0" w:type="dxa"/>
        <w:tblLayout w:type="fixed"/>
        <w:tblCellMar>
          <w:top w:w="28" w:type="dxa"/>
          <w:left w:w="28" w:type="dxa"/>
          <w:bottom w:w="28" w:type="dxa"/>
          <w:right w:w="28" w:type="dxa"/>
        </w:tblCellMar>
      </w:tblPr>
      <w:tblGrid>
        <w:gridCol w:w="1005"/>
        <w:gridCol w:w="884"/>
        <w:gridCol w:w="885"/>
        <w:gridCol w:w="447"/>
        <w:gridCol w:w="1752"/>
        <w:gridCol w:w="231"/>
        <w:gridCol w:w="109"/>
        <w:gridCol w:w="109"/>
        <w:gridCol w:w="109"/>
        <w:gridCol w:w="504"/>
        <w:gridCol w:w="1470"/>
        <w:gridCol w:w="261"/>
        <w:gridCol w:w="109"/>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517,107 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702,965 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439,298 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Present value of lease liabilities</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263,667 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Lease Amendments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we amended the lease related to our Franklin, New Jersey cultivation facility to increase the tenant improvement allowance, which resulted in increased rent amounts. We accounted for the amendment as a lease modification and remeasured the ROU asset and lease liability as of the amendment date, which resulted in a total additional tenant improvement allowance of $15,000, a reduction of $2,254 to the ROU asset, and an increase of $12,746 to the lease liability.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received a total of $1,990 under the capital expenditure allowance associated with two leases in Pennsylvania that was recorded as a tenant improvement allowance, which, based on the modified lease terms, resulted in $1,075 of additional lease liabilities, a reduction of $366 to the ROU asset, and a net gain of $107 and $549 during the three and six months ended June 30, 2023, respectively, which is included in “General and administrative expenses” on the unaudited Condensed Consolidated Statement of Operations.</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Sale Leaseback Transactions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the Company sold and subsequently leased back one of its capital assets in Pennsylvania for total proceeds of $15,000, excluding transaction costs. The transaction met the criteria for sale leaseback treatment. The lease was recorded as an operating lease and resulted in a lease liability of $12,758 and an ROU asset of $19,496, which includes an off-market lease adjustment of $6,738.</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cash payments due under transactions that did not qualify for sale-leaseback treatment. The cash payments are allocated between interest and liability reduction, as applicable. The “sold” assets remain within land, buildings, and leasehold improvements, as appropriate, for the duration of the lease and a financing liability equal to the amount of proceeds received is recorded within “Long-term debt, net” on the accompanying unaudited Condensed Consolidated Balance Sheets. </w:t>
      </w:r>
    </w:p>
    <w:tbl>
      <w:tblPr>
        <w:tblW w:w="10205" w:type="dxa"/>
        <w:jc w:val="left"/>
        <w:tblInd w:w="0" w:type="dxa"/>
        <w:tblLayout w:type="fixed"/>
        <w:tblCellMar>
          <w:top w:w="28" w:type="dxa"/>
          <w:left w:w="28" w:type="dxa"/>
          <w:bottom w:w="28" w:type="dxa"/>
          <w:right w:w="28" w:type="dxa"/>
        </w:tblCellMar>
      </w:tblPr>
      <w:tblGrid>
        <w:gridCol w:w="405"/>
        <w:gridCol w:w="293"/>
        <w:gridCol w:w="294"/>
        <w:gridCol w:w="109"/>
        <w:gridCol w:w="109"/>
        <w:gridCol w:w="109"/>
        <w:gridCol w:w="240"/>
        <w:gridCol w:w="704"/>
        <w:gridCol w:w="126"/>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30"/>
        <w:gridCol w:w="671"/>
        <w:gridCol w:w="120"/>
        <w:gridCol w:w="109"/>
        <w:gridCol w:w="109"/>
        <w:gridCol w:w="109"/>
        <w:gridCol w:w="211"/>
        <w:gridCol w:w="721"/>
        <w:gridCol w:w="157"/>
      </w:tblGrid>
      <w:tr>
        <w:trPr/>
        <w:tc>
          <w:tcPr>
            <w:tcW w:w="40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Remainder of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due under financing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11. DEBT</w:t>
      </w:r>
    </w:p>
    <w:tbl>
      <w:tblPr>
        <w:tblW w:w="6954" w:type="dxa"/>
        <w:jc w:val="left"/>
        <w:tblInd w:w="0" w:type="dxa"/>
        <w:tblLayout w:type="fixed"/>
        <w:tblCellMar>
          <w:top w:w="28" w:type="dxa"/>
          <w:left w:w="28" w:type="dxa"/>
          <w:bottom w:w="28" w:type="dxa"/>
          <w:right w:w="28" w:type="dxa"/>
        </w:tblCellMar>
      </w:tblPr>
      <w:tblGrid>
        <w:gridCol w:w="1299"/>
        <w:gridCol w:w="1141"/>
        <w:gridCol w:w="1144"/>
        <w:gridCol w:w="234"/>
        <w:gridCol w:w="919"/>
        <w:gridCol w:w="121"/>
        <w:gridCol w:w="109"/>
        <w:gridCol w:w="109"/>
        <w:gridCol w:w="109"/>
        <w:gridCol w:w="313"/>
        <w:gridCol w:w="1228"/>
        <w:gridCol w:w="228"/>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2021 Credit Facility</w:t>
            </w:r>
            <w:r>
              <w:rPr>
                <w:rFonts w:ascii="Times New Roman;sans-serif" w:hAnsi="Times New Roman;sans-serif"/>
                <w:b w:val="false"/>
                <w:color w:val="000000"/>
                <w:sz w:val="13"/>
              </w:rPr>
              <w:t>(1)</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Sellers’ Notes</w:t>
            </w:r>
            <w:r>
              <w:rPr>
                <w:rFonts w:ascii="Times New Roman;sans-serif" w:hAnsi="Times New Roman;sans-serif"/>
                <w:b w:val="false"/>
                <w:color w:val="000000"/>
                <w:sz w:val="13"/>
              </w:rPr>
              <w:t>(2)</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Finance liabilities</w:t>
            </w:r>
            <w:r>
              <w:rPr>
                <w:rFonts w:ascii="Times New Roman;sans-serif" w:hAnsi="Times New Roman;sans-serif"/>
                <w:b w:val="false"/>
                <w:color w:val="000000"/>
                <w:sz w:val="13"/>
              </w:rPr>
              <w:t>(3)</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Financing Agreement</w:t>
            </w:r>
            <w:r>
              <w:rPr>
                <w:rFonts w:ascii="Times New Roman;sans-serif" w:hAnsi="Times New Roman;sans-serif"/>
                <w:b w:val="false"/>
                <w:color w:val="000000"/>
                <w:sz w:val="13"/>
              </w:rPr>
              <w:t>(4)</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Finance leases</w:t>
            </w:r>
            <w:r>
              <w:rPr>
                <w:rFonts w:ascii="Times New Roman;sans-serif" w:hAnsi="Times New Roman;sans-serif"/>
                <w:b w:val="false"/>
                <w:color w:val="000000"/>
                <w:sz w:val="13"/>
              </w:rPr>
              <w:t>(5)</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318,185 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340,972 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deferred financing costs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 portion of debt, net</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11,329 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329,625 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deferred financing costs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 net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300,784 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319,297 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On August 27, 2021, the Company entered into a credit agreement with a group of lenders (the “2021 Credit Agreement”) that provided for an initial term loan of $210,000 (the “2021 Credit Facility”), which was borrowed in full. The 2021 Credit Agreement provided for an expansion feature that allowed the Company to request an increase in the 2021 Credit Facility up to $275,000 if the then-existing lenders (or other lenders) agreed to provide such additional term loans. During the second quarter of 2022, the Company borrowed an additional $65,000 pursuant to the expansion feature (the “2022 Loans”) for total borrowings of $275,000 under the 2021 Credit Facility.</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2021 Credit Facility matures on August 27, 2025 and does not require scheduled principal amortization payments. Borrowings under the 2021 Credit Facility bear interest at a rate of 9.5% per annum, payable quarterly and, as to any portion of the term loan that is prepaid, on the date of prepayment. The 2021 Credit Agreement permits the Company to request an extension of the maturity date for 364 days, subject to the lenders’ discretion.</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incurred initial financing costs of $8,806 and additional financing costs of $7,606 related to the 2022 Loans, which includes warrants issued to certain lenders to acquire 3,130 shares of Class A common stock that had a fair value of $2,639 at issuance. The financing costs are being amortized to interest expense over the term of 2021 Credit Facility using the straight-line method which approximates the interest rate method. The 2022 Loans were funded by a combination of new and existing lenders. Borrowings from the existing lenders were accounted for as a modification of existing debt, with the exception of one lender that was considered an extinguishment. We recognized a loss on extinguishment of $2,180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component of interest expense during the second quarter of 2022, which was comprised of the write-off of $337 related to the lender’s initial term loan and $1,843 related to the lender’s new loan, which included the estimated fair value of the warrants issued to the lender. </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2021 Credit Agreement requires mandatory prepayments from proceeds of certain events, including the proceeds of indebtedness that is not permitted under the agreement and asset sales and casualty events, subject to customary reinvestment rights. The Company may prepay the 2021 Credit Facility at any time, subject to a customary make-whole payment or prepayment penalty, as applicable. Once repaid, amounts borrowed under the 2021 Credit Facility may not be re-borrowed.</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is required to comply with two financial covenants under the 2021 Credit Agreement. The Company may not permit its liquidity (defined as unrestricted cash and cash equivalents pledged under the 2021 Credit Facility plus any future revolving credit availability) to be below $20,000 as of the last day of any fiscal quarter. Additionally, the Company may not permit the ratio of Consolidated EBITDA (as defined in the 2021 Credit Agreement) to consolidated cash interest expense for any period of four consecutive fiscal quarters to be less than 2.50:1.00. The Company has a customary equity cure right for each of these financial covenants. The Company is in compliance with these covenants as of June 30, 2023.</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2021 Credit Agreement requires the Company to make certain representations and warranties and to comply with customary covenants, including restrictions on the payment of dividends, repurchase of stock, incurrence of indebtedness, dispositions, and acquisitions. The 2021 Credit Agreement also contains customary events of default including: non-payment of principal or interest; violations of covenants; bankruptcy; change of control; cross defaults to other debt; and material judgments. The 2021 Credit Facility is guaranteed by all of the Company’s subsidiaries and is secured by substantially all of the assets of the Company and its subsidiaries. </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Sellers’ Notes consist of amounts owed for acquisitions or other purchases. During the six months ended June 30, 2023, we repaid $8,000 to the former owners of one entity that we previously acquired, which is included in “Current portion of debt, net” on the unaudited Condensed Consolidated Balance Sheet at December 31, 2022. Additionally, as further described in Note 4, “Acquisitions,” Sellers’ Notes includes a total of $8,100 related to the acquisition of two additional licenses in Illinois, of which $2,500 is included within “Current portion of debt, net” at June 30, 2023 and within “Long-term debt, net” at December 31, 2022, with the remainder included within “Long-term debt, net” at each period end. Sellers’ Notes also includes $9,038 and $8,366, respectively, related to the OPA Sellers’ Note included in “Long-term debt, net” at June 30, 2023 and December 31, 2022. The $11,000 OPA Sellers’ Note was recorded net of a discount of $3,010 that was calculated utilizing the Company’s estimated incremental borrowing rate based on the anticipated close date and is being accreted to interest expense over the expected term.</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Additionally, as of June 30, 2023 and December 31, 2022, $1,571 and $3,140, respectively, remains due under the purchase of a previous non-controlling interest and is included in “Current portion of debt, net” on the unaudited Condensed Consolidated Balance Sheet at each date.</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Finance liabilities related to failed sale leaseback transactions. See Note 10, “Leases,” for additional information.</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In December 2022, the Company received $19,364 pursuant to a financing agreement with a third-party lender (the “Financing Agreement”). The Company assigned to the lender its interests in an employee retention tax credit claim (the “ERTC Claim”) that it submitted in November 2022 totaling approximately $22,794.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in full, or other full repayment. During the three and six months ended June 30, 2023, the Company received $17,520 of the ERTC Claim, which was remitted to the lender per the terms of the Financing Agreement, and recorded a receivable of $5,274 for the remaining claim amount that is outstanding as of June 30, 2023. This receivable is included in “Other current assets” on the unaudited Condensed Consolidated Balance Sheet as of June 30, 2023, and the balance outstanding under the Financing Agreement is included “Current portion of debt, net” at June 30, 2023 and “Long-term debt, net” at December 31, 2022. The total claim amount of $22,794 was recognized as a component of “Other, net” on the unaudited Condensed Consolidated Statements of Operations during the three and six months ended June 30, 2023.</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Liabilities related to finance leases. See Note 10, “Leases,” for additional information.</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Debt Maturities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repaid $8,000 of sellers’ notes related to one previous acquisition and $1,572 of sellers’ notes related to the former owners of a previous non-controlling interest.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the following cash payments are required under our debt arrangements: </w:t>
      </w:r>
    </w:p>
    <w:tbl>
      <w:tblPr>
        <w:tblW w:w="8548" w:type="dxa"/>
        <w:jc w:val="left"/>
        <w:tblInd w:w="0" w:type="dxa"/>
        <w:tblLayout w:type="fixed"/>
        <w:tblCellMar>
          <w:top w:w="28" w:type="dxa"/>
          <w:left w:w="28" w:type="dxa"/>
          <w:bottom w:w="28" w:type="dxa"/>
          <w:right w:w="28" w:type="dxa"/>
        </w:tblCellMar>
      </w:tblPr>
      <w:tblGrid>
        <w:gridCol w:w="651"/>
        <w:gridCol w:w="573"/>
        <w:gridCol w:w="575"/>
        <w:gridCol w:w="109"/>
        <w:gridCol w:w="109"/>
        <w:gridCol w:w="109"/>
        <w:gridCol w:w="387"/>
        <w:gridCol w:w="1134"/>
        <w:gridCol w:w="203"/>
        <w:gridCol w:w="109"/>
        <w:gridCol w:w="109"/>
        <w:gridCol w:w="109"/>
        <w:gridCol w:w="211"/>
        <w:gridCol w:w="616"/>
        <w:gridCol w:w="109"/>
        <w:gridCol w:w="109"/>
        <w:gridCol w:w="109"/>
        <w:gridCol w:w="109"/>
        <w:gridCol w:w="211"/>
        <w:gridCol w:w="721"/>
        <w:gridCol w:w="109"/>
        <w:gridCol w:w="109"/>
        <w:gridCol w:w="109"/>
        <w:gridCol w:w="109"/>
        <w:gridCol w:w="109"/>
        <w:gridCol w:w="109"/>
        <w:gridCol w:w="109"/>
        <w:gridCol w:w="109"/>
        <w:gridCol w:w="109"/>
        <w:gridCol w:w="109"/>
        <w:gridCol w:w="211"/>
        <w:gridCol w:w="72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Remainder of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Sellers’ notes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note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Certain cash payments include an interest accretion component. The timing of certain payments may vary based on regulatory approval of the underlying transactions.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during the three and six months ended June 30, 2023 and 2022 consisted of the following:</w:t>
      </w:r>
    </w:p>
    <w:tbl>
      <w:tblPr>
        <w:tblW w:w="7875" w:type="dxa"/>
        <w:jc w:val="left"/>
        <w:tblInd w:w="0" w:type="dxa"/>
        <w:tblLayout w:type="fixed"/>
        <w:tblCellMar>
          <w:top w:w="28" w:type="dxa"/>
          <w:left w:w="28" w:type="dxa"/>
          <w:bottom w:w="28" w:type="dxa"/>
          <w:right w:w="28" w:type="dxa"/>
        </w:tblCellMar>
      </w:tblPr>
      <w:tblGrid>
        <w:gridCol w:w="1011"/>
        <w:gridCol w:w="887"/>
        <w:gridCol w:w="892"/>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on financing liabilities</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Interest on financing liability related to failed sale leaseback transactions. See Note 10, “Leases,”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12. STOCKHOLDERS’ EQUITY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authorized 750,000 shares of Class A common stock with a par value of $0.001 per share, 100 shares of Class B common stock with a par value of $0.001 per share, and 10,000 shares of preferred stock with a par value of $0.001 per share. Holders of each share of Class A common stock are entitled to one vote per share and holders of Class B common stock are entitled to 1,000 votes per share. Holders of Class A common stock and Class B common stock will vote together as a single class on all matters (including the election of directors) submitted to a vote of stockholders, unless otherwise required by law or our certificate of incorporation. Each share of Class B common stock is convertible at any time into one share of Class A common stock at the option of the holder. In addition, each share of Class B common stock will automatically convert into one share of Class A common stock on May 4, 2026, the final conversion date. Each share of Class B common stock will convert automatically into one share of Class A common stock upon any transfer, whether or not for value, except for certain transfers described in our certificate of incorporation, including, without limitation, transfers for tax and estate planning purposes, so long as the transferring holder of Class B common stock continues to hold exclusive voting and dispositive power with respect to any such transferred shares. Once converted into a share of Class A common stock, a converted share of Class B common stock will not be reissued, and following the conversion of all outstanding shares of Class B common stock, no further shares of Class B common stock will be issued.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June 23, 2023, the Company completed a non-brokered private placement offering of an aggregate of 9,859 shares of the Company’s Class A common stock to a single investor at a purchase price of $0.71 per share, for an aggregate of $7,000 in gross proceeds. Legal expenses incurred in connection with this financing were not material. These shares were issued pursuant to the exemption from registration provided by Rule 506(b) of Regulation D under the Securities Act of 1933, as amended, based on the nature of the transaction and various representations made by the investor.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total shares of Class A common stock and Class B common stock outstanding as of June 30, 2023 and December 31, 2022:</w:t>
      </w:r>
    </w:p>
    <w:tbl>
      <w:tblPr>
        <w:tblW w:w="6115" w:type="dxa"/>
        <w:jc w:val="left"/>
        <w:tblInd w:w="0" w:type="dxa"/>
        <w:tblLayout w:type="fixed"/>
        <w:tblCellMar>
          <w:top w:w="28" w:type="dxa"/>
          <w:left w:w="28" w:type="dxa"/>
          <w:bottom w:w="28" w:type="dxa"/>
          <w:right w:w="28" w:type="dxa"/>
        </w:tblCellMar>
      </w:tblPr>
      <w:tblGrid>
        <w:gridCol w:w="994"/>
        <w:gridCol w:w="874"/>
        <w:gridCol w:w="877"/>
        <w:gridCol w:w="424"/>
        <w:gridCol w:w="424"/>
        <w:gridCol w:w="426"/>
        <w:gridCol w:w="109"/>
        <w:gridCol w:w="109"/>
        <w:gridCol w:w="109"/>
        <w:gridCol w:w="517"/>
        <w:gridCol w:w="517"/>
        <w:gridCol w:w="735"/>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A common stock</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204,825 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187,999 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2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188,064</w:t>
            </w:r>
          </w:p>
        </w:tc>
      </w:tr>
    </w:tbl>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warrants activity during the six months ended June 30, 2023:</w:t>
      </w:r>
    </w:p>
    <w:tbl>
      <w:tblPr>
        <w:tblW w:w="10205" w:type="dxa"/>
        <w:jc w:val="left"/>
        <w:tblInd w:w="0" w:type="dxa"/>
        <w:tblLayout w:type="fixed"/>
        <w:tblCellMar>
          <w:top w:w="28" w:type="dxa"/>
          <w:left w:w="28" w:type="dxa"/>
          <w:bottom w:w="28" w:type="dxa"/>
          <w:right w:w="28" w:type="dxa"/>
        </w:tblCellMar>
      </w:tblPr>
      <w:tblGrid>
        <w:gridCol w:w="608"/>
        <w:gridCol w:w="535"/>
        <w:gridCol w:w="536"/>
        <w:gridCol w:w="109"/>
        <w:gridCol w:w="109"/>
        <w:gridCol w:w="109"/>
        <w:gridCol w:w="408"/>
        <w:gridCol w:w="408"/>
        <w:gridCol w:w="410"/>
        <w:gridCol w:w="109"/>
        <w:gridCol w:w="109"/>
        <w:gridCol w:w="109"/>
        <w:gridCol w:w="531"/>
        <w:gridCol w:w="1288"/>
        <w:gridCol w:w="276"/>
        <w:gridCol w:w="109"/>
        <w:gridCol w:w="109"/>
        <w:gridCol w:w="109"/>
        <w:gridCol w:w="813"/>
        <w:gridCol w:w="813"/>
        <w:gridCol w:w="815"/>
        <w:gridCol w:w="109"/>
        <w:gridCol w:w="109"/>
        <w:gridCol w:w="109"/>
        <w:gridCol w:w="395"/>
        <w:gridCol w:w="761"/>
        <w:gridCol w:w="300"/>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Warrants</w:t>
            </w:r>
          </w:p>
          <w:p>
            <w:pPr>
              <w:pStyle w:val="TableContents"/>
              <w:bidi w:val="0"/>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Weighted-Average Remaining Exercise Period</w:t>
            </w:r>
          </w:p>
          <w:p>
            <w:pPr>
              <w:pStyle w:val="TableContents"/>
              <w:bidi w:val="0"/>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p>
            <w:pPr>
              <w:pStyle w:val="TableContents"/>
              <w:bidi w:val="0"/>
              <w:spacing w:lineRule="auto" w:line="240" w:before="0" w:after="0"/>
              <w:jc w:val="center"/>
              <w:rPr/>
            </w:pPr>
            <w:r>
              <w:rPr>
                <w:rFonts w:ascii="Times New Roman;sans-serif" w:hAnsi="Times New Roman;sans-serif"/>
                <w:b/>
                <w:i/>
                <w:color w:val="000000"/>
                <w:sz w:val="18"/>
              </w:rPr>
              <w:t>(in thousands)</w:t>
            </w:r>
            <w:r>
              <w:rPr>
                <w:rFonts w:ascii="Times New Roman;sans-serif" w:hAnsi="Times New Roman;sans-serif"/>
                <w:b/>
                <w:color w:val="000000"/>
                <w:sz w:val="12"/>
              </w:rPr>
              <w:t>(1)</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Outstanding, June 30, 2023</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5,406 </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Based on the amount by which the closing market price of our Class A common stock exceeds the exercise price on each date indicated. </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The warrants outstanding as of June 30, 2023 are equity-classified instruments, are subject to customary anti-dilution adjustments, and are stand-alone instruments. The fair value per warrant is calculated at issuance using a Black-Scholes model and ranged from $0.02 to $0.84. Significant assumptions used in the calculations included volatility ranging from 70.0% to 108.4% and risk-free rates ranging from 0.17% to 4.20%. No warrants were exercised during the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13. EQUITY-BASED COMPENSATION EXPENSE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Equity Incentive Plans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an incentive plan in November 2020 (the “2020 Plan”) which authorized the issuance of incentive common unit options and restricted common units (collectively, “Awards”). The maximum number of Awards to be issued under the 2020 Plan is 10,031 and any Awards that expire or are forfeited may be re-issued. A total of 9,994 Awards had been issued under the plan as of June 30, 2023. The Awards generally vest over two or three years. The estimated fair value of the Awards at issuance is recognized as compensation expense over the related vesting period.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restricted common shares activity during the six months ended June 30, 2023:</w:t>
      </w:r>
    </w:p>
    <w:tbl>
      <w:tblPr>
        <w:tblW w:w="4993" w:type="dxa"/>
        <w:jc w:val="left"/>
        <w:tblInd w:w="0" w:type="dxa"/>
        <w:tblLayout w:type="fixed"/>
        <w:tblCellMar>
          <w:top w:w="28" w:type="dxa"/>
          <w:left w:w="28" w:type="dxa"/>
          <w:bottom w:w="28" w:type="dxa"/>
          <w:right w:w="28" w:type="dxa"/>
        </w:tblCellMar>
      </w:tblPr>
      <w:tblGrid>
        <w:gridCol w:w="923"/>
        <w:gridCol w:w="812"/>
        <w:gridCol w:w="814"/>
        <w:gridCol w:w="714"/>
        <w:gridCol w:w="714"/>
        <w:gridCol w:w="1016"/>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Common Shares</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2022</w:t>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Unvested, June 30, 2023</w:t>
            </w:r>
          </w:p>
        </w:tc>
        <w:tc>
          <w:tcPr>
            <w:tcW w:w="142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total unrecognized compensation cost related to the restricted common shares was not material.</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adopted a new stock incentive plan (the “2021 Plan”), pursuant to which 17,000 shares of Class A common stock are reserved for issuance thereunder, subject to certain adjustments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terms. Following the adoption of the 2021 Plan, no additional awards are expected to be issued under the 2020 Plan. The 2021 Plan authorized the issuance of stock options, stock appreciation rights (“SAR Awards”), restricted stock awards (“RSAs”), restricted stock units (“RSUs”), and other stock-based awards (collectively the “2021 Plan Awards”). Any 2021 Plan Awards that expire or are forfeited may be re-issued. The estimated fair value of the 2021 Plan Awards at issuance is recognized as compensation expense over the related vesting, exercise, or service periods, as applicable.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9, 2023, the Company’s board of directors unanimously approved, subject to stockholder approval, an amendment to the 2021 Plan (the “Amendment”) to increase the maximum number of shares of Class A common stock available for issuance under the 2021 Plan to an amount not to exceed 10% of the total number of issued and outstanding shares of Class A common stock, on a non-diluted basis, as constituted on the grant date of an award pursuant to the 2021 Plan. On May 5, 2023, the stockholders of the Company voted to approve the Amendment. As of June 30, 2023, there were 2,162 shares of Class A common stock available for grant for future equity-based compensation awards under the 2021 Plan. Activity related to awards issued under the 2021 Plan is further described below. As of June 30, 2023, no SAR Awards and no RSAs had been granted under the 2021 Plan. </w:t>
      </w:r>
    </w:p>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during the six months ended June 30, 2023:</w:t>
      </w:r>
    </w:p>
    <w:tbl>
      <w:tblPr>
        <w:tblW w:w="10205" w:type="dxa"/>
        <w:jc w:val="left"/>
        <w:tblInd w:w="0" w:type="dxa"/>
        <w:tblLayout w:type="fixed"/>
        <w:tblCellMar>
          <w:top w:w="28" w:type="dxa"/>
          <w:left w:w="28" w:type="dxa"/>
          <w:bottom w:w="28" w:type="dxa"/>
          <w:right w:w="28" w:type="dxa"/>
        </w:tblCellMar>
      </w:tblPr>
      <w:tblGrid>
        <w:gridCol w:w="759"/>
        <w:gridCol w:w="487"/>
        <w:gridCol w:w="491"/>
        <w:gridCol w:w="109"/>
        <w:gridCol w:w="109"/>
        <w:gridCol w:w="109"/>
        <w:gridCol w:w="360"/>
        <w:gridCol w:w="360"/>
        <w:gridCol w:w="362"/>
        <w:gridCol w:w="109"/>
        <w:gridCol w:w="109"/>
        <w:gridCol w:w="109"/>
        <w:gridCol w:w="531"/>
        <w:gridCol w:w="1289"/>
        <w:gridCol w:w="277"/>
        <w:gridCol w:w="109"/>
        <w:gridCol w:w="109"/>
        <w:gridCol w:w="109"/>
        <w:gridCol w:w="825"/>
        <w:gridCol w:w="825"/>
        <w:gridCol w:w="826"/>
        <w:gridCol w:w="109"/>
        <w:gridCol w:w="109"/>
        <w:gridCol w:w="109"/>
        <w:gridCol w:w="409"/>
        <w:gridCol w:w="788"/>
        <w:gridCol w:w="308"/>
      </w:tblGrid>
      <w:tr>
        <w:trPr/>
        <w:tc>
          <w:tcPr>
            <w:tcW w:w="75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 Outstanding</w:t>
            </w:r>
          </w:p>
        </w:tc>
      </w:tr>
      <w:tr>
        <w:trPr/>
        <w:tc>
          <w:tcPr>
            <w:tcW w:w="1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Weighted-Average Remaining Contractual Life </w:t>
            </w:r>
          </w:p>
          <w:p>
            <w:pPr>
              <w:pStyle w:val="TableContents"/>
              <w:bidi w:val="0"/>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Aggregate Intrinsic Value</w:t>
            </w:r>
            <w:r>
              <w:rPr>
                <w:rFonts w:ascii="Times New Roman;sans-serif" w:hAnsi="Times New Roman;sans-serif"/>
                <w:b/>
                <w:color w:val="000000"/>
                <w:sz w:val="13"/>
              </w:rPr>
              <w:t>(1)</w:t>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Based on the amount by which the closing market price of our Class A common stock exceeds the exercise price on each date indicated.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options were exercised during the six months ended June 30, 2023. Total unrecognized stock-based compensation expense related to unvested options was $3,288 as of June 30, 2023, which is expected to be recognized over a weighted-average remaining period of 3.2 years.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the fair value of stock options on the grant date using a Black-Scholes option pricing model. The fair value of stock options granted during the six months ended June 30, 2023 was calculated on the date of grant using the following weighted-average assumptions:</w:t>
      </w:r>
    </w:p>
    <w:tbl>
      <w:tblPr>
        <w:tblW w:w="3882" w:type="dxa"/>
        <w:jc w:val="left"/>
        <w:tblInd w:w="0" w:type="dxa"/>
        <w:tblLayout w:type="fixed"/>
        <w:tblCellMar>
          <w:top w:w="28" w:type="dxa"/>
          <w:left w:w="28" w:type="dxa"/>
          <w:bottom w:w="28" w:type="dxa"/>
          <w:right w:w="28" w:type="dxa"/>
        </w:tblCellMar>
      </w:tblPr>
      <w:tblGrid>
        <w:gridCol w:w="679"/>
        <w:gridCol w:w="596"/>
        <w:gridCol w:w="600"/>
        <w:gridCol w:w="109"/>
        <w:gridCol w:w="109"/>
        <w:gridCol w:w="109"/>
        <w:gridCol w:w="342"/>
        <w:gridCol w:w="342"/>
        <w:gridCol w:w="996"/>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 2023</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Using the Black-Scholes option pricing model, the weighted-average fair value of stock options granted during the six months ended June 30, 2023 was $0.45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RSU activity during the six months ended June 30, 2023:</w:t>
      </w:r>
    </w:p>
    <w:tbl>
      <w:tblPr>
        <w:tblW w:w="9056" w:type="dxa"/>
        <w:jc w:val="left"/>
        <w:tblInd w:w="0" w:type="dxa"/>
        <w:tblLayout w:type="fixed"/>
        <w:tblCellMar>
          <w:top w:w="28" w:type="dxa"/>
          <w:left w:w="28" w:type="dxa"/>
          <w:bottom w:w="28" w:type="dxa"/>
          <w:right w:w="28" w:type="dxa"/>
        </w:tblCellMar>
      </w:tblPr>
      <w:tblGrid>
        <w:gridCol w:w="923"/>
        <w:gridCol w:w="811"/>
        <w:gridCol w:w="816"/>
        <w:gridCol w:w="539"/>
        <w:gridCol w:w="539"/>
        <w:gridCol w:w="541"/>
        <w:gridCol w:w="109"/>
        <w:gridCol w:w="109"/>
        <w:gridCol w:w="109"/>
        <w:gridCol w:w="1097"/>
        <w:gridCol w:w="2659"/>
        <w:gridCol w:w="804"/>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Shares</w:t>
            </w:r>
          </w:p>
          <w:p>
            <w:pPr>
              <w:pStyle w:val="TableContents"/>
              <w:bidi w:val="0"/>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 per Share</w:t>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2022</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Vested</w:t>
            </w:r>
            <w:r>
              <w:rPr>
                <w:rFonts w:ascii="Times New Roman;sans-serif" w:hAnsi="Times New Roman;sans-serif"/>
                <w:b w:val="false"/>
                <w:color w:val="000000"/>
                <w:sz w:val="13"/>
              </w:rPr>
              <w:t>(1)</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Unvested, June 30, 2023</w:t>
            </w:r>
          </w:p>
        </w:tc>
        <w:tc>
          <w:tcPr>
            <w:tcW w:w="107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13,776 </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8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Includes 623 vested shares that were withheld to cover tax obligations and were subsequently cancelled.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total unrecognized compensation cost related to the RSUs was $31,162, which is expected to be recognized over a weighted-average remaining period of 2.1 years.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Compensation Expense by Type of Award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equity-based compensation expense by type of award for the periods presented:</w:t>
      </w:r>
    </w:p>
    <w:tbl>
      <w:tblPr>
        <w:tblW w:w="8490" w:type="dxa"/>
        <w:jc w:val="left"/>
        <w:tblInd w:w="0" w:type="dxa"/>
        <w:tblLayout w:type="fixed"/>
        <w:tblCellMar>
          <w:top w:w="28" w:type="dxa"/>
          <w:left w:w="28" w:type="dxa"/>
          <w:bottom w:w="28" w:type="dxa"/>
          <w:right w:w="28" w:type="dxa"/>
        </w:tblCellMar>
      </w:tblPr>
      <w:tblGrid>
        <w:gridCol w:w="1310"/>
        <w:gridCol w:w="1151"/>
        <w:gridCol w:w="115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Common Shares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Of the total equity-based compensation expense, $2,259 and $2,027 was capitalized to inventory during the three months ended June 30, 2023 and 2022, respectively, and $3,859 and $5,238 was capitalized to inventory during the six months ended June 30, 2023 and 2022, respectively. As of June 30, 2023 and December 31, 2022, $2,414 and $536, respectively, remains capitalized in inventory. During the three months ended June 30, 2023 and 2022, we recognized $2,198 and $3,888, respectively, within “General and administrative expenses” on the unaudited Condensed Consolidated Statements of Operations and we recognized $1,931 and $3,167, respectively, within “Cost of goods sold.” During the six months ended June 30, 2023 and 2022, we recognized $5,153 and $6,392, respectively, within “General and administrative expenses” and we recognized $1,981 and $7,162, respectively, within “Cost of goods sold.”</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also adopted an employee stock purchase plan (the “2021 ESPP”), pursuant to which 4,000 shares of Class A common stock are reserved for issuance thereunder, subject to certain adjustments and other terms. No shares have been issued under the 2021 ESPP as of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14. INCOME TAXES</w:t>
      </w:r>
    </w:p>
    <w:tbl>
      <w:tblPr>
        <w:tblW w:w="8778" w:type="dxa"/>
        <w:jc w:val="left"/>
        <w:tblInd w:w="0" w:type="dxa"/>
        <w:tblLayout w:type="fixed"/>
        <w:tblCellMar>
          <w:top w:w="28" w:type="dxa"/>
          <w:left w:w="28" w:type="dxa"/>
          <w:bottom w:w="28" w:type="dxa"/>
          <w:right w:w="28" w:type="dxa"/>
        </w:tblCellMar>
      </w:tblPr>
      <w:tblGrid>
        <w:gridCol w:w="1037"/>
        <w:gridCol w:w="912"/>
        <w:gridCol w:w="916"/>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96"/>
        <w:gridCol w:w="316"/>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 on 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the Company operates in the cannabis industry, it is subject to the limitations of IRC Section 280E, which prohibits businesses engaged in the trafficking of Schedule I or Schedule II controlled substances from deducting ordinary and necessary business expenses from gross profit. Cannabis businesses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can be highly variable and may not necessarily correlate with pre-tax income or loss.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during the second quarter of 2023, Illinois and New Jersey, two states in which the Company has significant operations, began permitting cannabis businesses to deduct ordinary and necessary business expenses from gross profit for state tax purposes. As such, the effective tax rate for the three and six months ended June 30, 2023 reflects a benefit from this change and varies from the effective tax rate for the three and six months ended June 30, 2022.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Commitments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significant future annual commitments, other than related to leases and debt, which are disclosed in Notes 10 and 11, respectively, and certain payments related to acquisitions, as disclosed in Note 4.</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Legal and Other Matters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 local and state regulations as of June 30, 2023 in all material respects, cannabis regulations continue to evolve and are subject to differing interpretations, and accordingly, the Company may be subject to regulatory fines, penalties, or restrictions in the future.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laws that permit and regulate the production, distribution, and use of cannabis for adult-use or medical purposes are in direct conflict with the Controlled Substances Act (21 U.S.C. § 811) (the “CSA”), which makes cannabis use and possession federally illegal. Although certain states and territories of the United States authorize medical and/or adult-use cannabis production and distribution by licensed or registered entities, under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law, the possession, use, cultivation, and transfer of cannabis and any related drug paraphernalia is illegal and any such acts are criminal acts under federal law under the CSA. Although the Company’s activities are believed to be compliant with applicable state and local laws, strict compliance with state and local laws with respect to cannabis may neither absolve the Company of liability under United States federal law, nor may it provide a defense to any federal proceeding which may be brought against the Company.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June 30, 2023 there were no pending or threatened lawsuits that could reasonably be expected to have a material effect on our consolidated results of operations, other than as disclosed below.</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MedMen NY Litigation</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the state of New York. Following the completion of the transactions contemplated by the Investment Agreement, we were expected to hold all the outstanding equity of MMNY. Specifically, the Investment Agreement provided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w:t>
      </w:r>
      <w:r>
        <w:rPr>
          <w:color w:val="000000"/>
        </w:rPr>
        <w:t xml:space="preserve"> </w:t>
      </w:r>
      <w:r>
        <w:rPr>
          <w:rFonts w:ascii="Times New Roman;sans-serif" w:hAnsi="Times New Roman;sans-serif"/>
          <w:b w:val="false"/>
          <w:color w:val="000000"/>
          <w:sz w:val="20"/>
        </w:rPr>
        <w:t>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MMNY, which investment would also be used to repay MMNY’s senior secured lender, if adult-use cannabis sales commenced in MMNY’s dispensaries.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receipt of such notice, on January 13, 2022, the Company filed a complaint against MedMen and others in the Commercial Division of the Supreme Court of the State of New York (the “Court”), requesting specific performance that the transactions contemplated by the Investment Agreement must move forward, and such other relief as the Court may deem appropriate. The Company simultaneously moved for a temporary restraining order and preliminary injunction (the “Motion”) requiring MedMen to operate its New York business in the ordinary course of business and to refrain from any activities or transactions that might impair, encumber, or dissipate MedMen’s New York assets. The parties resolved the Motion via a “Stipulation and Order” entered by the Court on January 21, 2022 that requires that MMNY operate only in compliance with the law and in a manner consistent with its ordinary course of business that preserves all assets of MMNY. It further requires MMNY to not take certain actions, including any actions that would have a material adverse effect on MedMen’s New York business. On March 27, 2023, the parties entered a further stipulation that modified the January 21, 2022 Stipulation and Order by lifting the Court’s prohibition against a sale or transfer of MMNY or its assets. That further stipulation modifying the January 21, 2022 Stipulation and Order was entered by the Court on August 1, 2023. </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24, 2022, MedMen filed counterclaims against the Company, alleging that Ascend had breached the Investment Agreement, and seeking declaratory relief that MedMen had properly terminated the Investment Agreement. On February 14, 2022, the Company moved to dismiss MedMen’s counterclaims and filed an amended complaint (the “First Amended Complaint”) that included additional claims against MedMen for breach of contract. The First Amended Complaint contained several causes of action, including for breach of contract and breach of the covenant of good faith and fair dealing. The First Amended Complaint sought damages in addition to continuing to seek injunctive and declaratory relief. On March 7, 2022, MedMen filed amended counterclaims, an answer, and affirmative defenses to the First Amended Counterclaim. On March 28, 2022, the Company moved to dismiss MedMen’s amended counterclaims. On April 20, 2022, the parties entered into a stipulation extending the time for MedMen to oppose the Company’s motion to dismiss until May 5, 2022. In addition, the parties agreed to stay all discovery, including both party and non-party discovery. On May 5, 2022, the parties filed another stipulation order with the Court adjourning until further notice from the Court MedMen’s time to oppose the Company’s motion to dismiss MedMen’s amended counterclaims. The parties again stipulated that all discovery remains stayed pending further order from the Court.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2022, the Company and MedMen signed a term sheet (the “Term Sheet”), pursuant to which the parties agreed to use best efforts to enter into a settlement agreement and enter into new or amended transactional documents. Specifically, if consummated, the agreements contemplated by the Term Sheet would entail, among other things, the Company paying MedMen $15,000 in additional transaction consideration, and MedMen withdrawing its counterclaims against the Company. Per the amended transaction terms contemplated in the Term Sheet, upon closing, the Company would receive a 99.99% controlling interest in MMNY and the Company would pay MedMen $74,000, which reflected the original transaction consideration plus an additional $11,000 per the parties’ term sheet, less a $4,000 deposit that the Company already paid.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transaction terms contemplated in the Term Sheet also would have required MedMen to provide a representation and warranty that the status of the MMNY assets has not materially changed since December 31, 2021 and an acknowledgement that the representations and warranties from the Investment Agreement will survive for three months after the closing of the contemplated transactions. After the Company determined that MedMen cannot make or provide the representations and warranties MedMen would have been required to make as part of the contemplated transactions, the Company determined that it no longer intends to consummate the contemplated transactions.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2022, the Company sought leave from the Court to file a second amended complaint (the “Second Amended Complaint”). The Second Amended Complaint contains breach of contract claims against MedMen, as well as a claim for the breach of the implied covenant of good faith and fair dealing, and a claim for anticipatory breach of contract. In connection with those claims, the Company is no longer seeking injunctive or declaratory relief; however, the Company continues to seek damages from MedMen, including, but not limited to, the return of the $4,000 deposit, approximately $2,400 of advances pursuant to a working capital loan agreement (as described in Note 6, “Notes Receivable”) and other capital expenditure advances paid to MMNY by the Company.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21, 2022, the parties entered into a stipulation whereby MedMen agreed to the filing of the Second Amended Complaint, which is now the operative pleading in the litigation. In addition, in the stipulation, the Company agreed that it would not contest MedMen’s filing of second amended counterclaims against the Company while reserving all rights with respect to any such counterclaims, including the right to move to dismiss any amended counterclaims. Because the parties agreed to the filing of each side’s amended pleadings, on November 28, 2022, the Court determined that Ascend’s March 2022 motion to dismiss was moot.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21, 2022, MedMen filed amended counterclaims, an answer, and affirmative defenses to the Company’s Second Amended Complaint. In addition to the allegations in MedMen’s earlier pleadings, MedMen now also alleges that the Company breached the Term Sheet. On January 20, 2023, the Company moved to dismiss MedMen’s amended counterclaims. The briefing on the Company’s motion to dismiss was completed as of March 3, 2023 and the Court heard oral arguments on that motion on July 18, 2023. The parties are currently awaiting the Court’s decision.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Company’s decision to no longer consummate the contemplated transactions, during the third quarter of 2022, the Company expensed a total of $1,704 of capitalized costs, primarily consisting of capital expenditures or deposits that were incurred for certain locations. Additionally, during the fourth quarter of 2022, the Company established an estimated reserve of $3,700 related to the remaining amounts that it is actively pursuing collecting. The Company determined that the estimated reserve remained adequate as of June 30, 2023 and is included within “Other current assets” on the unaudited Condensed Consolidated Balance Sheets at June 30, 2023 and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16. RELATED PARTY TRANSACTIONS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related party transactions during the six months ended June 30, 2023, other than as disclosed in Note 6, “Notes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17. SUPPLEMENTAL INFORMATION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information regarding our other current assets:</w:t>
      </w:r>
    </w:p>
    <w:tbl>
      <w:tblPr>
        <w:tblW w:w="6054" w:type="dxa"/>
        <w:jc w:val="left"/>
        <w:tblInd w:w="0" w:type="dxa"/>
        <w:tblLayout w:type="fixed"/>
        <w:tblCellMar>
          <w:top w:w="28" w:type="dxa"/>
          <w:left w:w="28" w:type="dxa"/>
          <w:bottom w:w="28" w:type="dxa"/>
          <w:right w:w="28" w:type="dxa"/>
        </w:tblCellMar>
      </w:tblPr>
      <w:tblGrid>
        <w:gridCol w:w="972"/>
        <w:gridCol w:w="854"/>
        <w:gridCol w:w="858"/>
        <w:gridCol w:w="258"/>
        <w:gridCol w:w="883"/>
        <w:gridCol w:w="133"/>
        <w:gridCol w:w="109"/>
        <w:gridCol w:w="109"/>
        <w:gridCol w:w="109"/>
        <w:gridCol w:w="380"/>
        <w:gridCol w:w="1110"/>
        <w:gridCol w:w="279"/>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and other receivables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deposits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 allowance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9,541 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information regarding our accounts payable and accrued liabilities:</w:t>
      </w:r>
    </w:p>
    <w:tbl>
      <w:tblPr>
        <w:tblW w:w="6521" w:type="dxa"/>
        <w:jc w:val="left"/>
        <w:tblInd w:w="0" w:type="dxa"/>
        <w:tblLayout w:type="fixed"/>
        <w:tblCellMar>
          <w:top w:w="28" w:type="dxa"/>
          <w:left w:w="28" w:type="dxa"/>
          <w:bottom w:w="28" w:type="dxa"/>
          <w:right w:w="28" w:type="dxa"/>
        </w:tblCellMar>
      </w:tblPr>
      <w:tblGrid>
        <w:gridCol w:w="1276"/>
        <w:gridCol w:w="934"/>
        <w:gridCol w:w="940"/>
        <w:gridCol w:w="258"/>
        <w:gridCol w:w="883"/>
        <w:gridCol w:w="133"/>
        <w:gridCol w:w="109"/>
        <w:gridCol w:w="109"/>
        <w:gridCol w:w="109"/>
        <w:gridCol w:w="344"/>
        <w:gridCol w:w="1175"/>
        <w:gridCol w:w="251"/>
      </w:tblGrid>
      <w:tr>
        <w:trPr/>
        <w:tc>
          <w:tcPr>
            <w:tcW w:w="127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liabilities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expenses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 purchases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59,954 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information regarding our general and administrative expenses:</w:t>
      </w:r>
    </w:p>
    <w:tbl>
      <w:tblPr>
        <w:tblW w:w="7784" w:type="dxa"/>
        <w:jc w:val="left"/>
        <w:tblInd w:w="0" w:type="dxa"/>
        <w:tblLayout w:type="fixed"/>
        <w:tblCellMar>
          <w:top w:w="28" w:type="dxa"/>
          <w:left w:w="28" w:type="dxa"/>
          <w:bottom w:w="28" w:type="dxa"/>
          <w:right w:w="28" w:type="dxa"/>
        </w:tblCellMar>
      </w:tblPr>
      <w:tblGrid>
        <w:gridCol w:w="938"/>
        <w:gridCol w:w="824"/>
        <w:gridCol w:w="83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and utilities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Marketing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subsequent events to determine if events or transactions occurring through the filing date of this Quarterly Report on Form 10-Q require adjustment to or disclosure in the Company’s Financial Statements. There were no events that require adjustment to or disclosure in the Financial Statements, except as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management discussion and analysis, which we refer to as the “MD&amp;A,” of the financial condition and results of operations of Ascend Wellness Holdings, Inc. (the “Company,” “AWH,” or “Ascend”) is for the three and six months ended June 30, 2023 and 2022. It is supplemental to, and should be read in conjunction with, the unaudited condensed consolidated financial statements, and the accompanying notes thereto, (the “Financial Statements”) appearing elsewhere in this Quarterly Report on Form 10-Q (the “Quarterly Report” or “Form 10-Q”) and our Annual Report on Form 10-K for the year ended December 31, 2022 (the “Annual Report”), which has been filed with the United States Securities and Exchange Commission (“SEC”) and with the relevant Canadian securities regulatory authorities under its profile on the System for Electronic Document Analysis and Retrieval Plus (“SEDAR+”). The Financial Statements and Annual Report were prepared in accordance with accounting principles generally accepted in the United States of America, which we refer to as “U.S. GAAP.”</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and is qualified in its entirety by, the Financial Statements. In addition to historical information, the discussion in this section contains forward-looking statements and forward-looking information (collectively, “forward-looking information”) that involve risks and uncertainties. Generally, forward-looking information may be identified by the use of forward-looking terminology such as “plans,” “expects,” “does not expect,” “proposed,” “is expected,” “budgets,” “scheduled,” “estimates,” “forecasts,” “intends,” “anticipates,” “does not anticipate,” “believes,” or variations of such words and phrases, or by the use of words or phrases which state that certain actions, events, or results may, could, would, or might occur or be achieved. There can be no assurance that such forward-looking information will prove to be accurate, and actual results and future events could differ materially from those anticipated in such forward-looking information. Forward-looking information is subject to known and unknown risks, uncertainties, and other factors that may cause the actual results, level of activity, performance, or achievements of the Company to be materially different from those or implied by such forward-looking information. See “Forward-Looking Statements” for more information. Readers are further cautioned not to place undue reliance on forward-looking information as there can be no assurance that the plans, intentions, or expectations upon which they are placed will occur. Forward-looking information in this MD&amp;A is expressly qualified by this cautionary statement.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information and unit or share figures, except per-unit or per-share amounts, presented in this MD&amp;A are presented in thousands of United States dollars (“$”), unless otherwise indicated. We round amounts in this MD&amp;A to the thousands and calculate all percentages, per-unit, and per-share data from the underlying whole-dollar amounts. Thus, certain amounts may not foot, crossfoot, or recalculate based on reported numbers due to rounding.</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The Company’s shares of Class A common stock are listed on the Canadian Securities Exchange (the “CSE”) under the ticker symbol “AAWH.U” and are quoted on the OTCQX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Best Market under the symbol “AAWH.” We are an emerging growth company under federal securities laws and as such we are able to elect to follow scaled disclosure requirements for this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Established in 2018 and headquartered in New York, New York, 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and to third-party licensed retail cannabis stores.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our formation, we have expanded our operational footprint, primarily through acquisitions, and, as of June 30, 2023, had direct or indirect operations or financial interests in seven United States geographic markets: Illinois, Maryland, Massachusetts, Michigan, New Jersey, Ohio, and Pennsylvania. While we have been successful in opening facilities and dispensaries, we expect continued growth to be driven by opening new operational facilities and dispensaries under our current licenses, expansion of our current facilities, and increased consumer demand. We currently employ approximately 2,200 people.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consumer products portfolio is generated primarily from plant material that we grow and process ourselves. As of June 30, 2023, we produce our consumer packaged goods in six manufacturing facilities with 245,000 square feet of current operational canopy and total current capacity of approximately 123,000 pounds annually. As of June 30, 2023, our product portfolio consists of 640 stock keeping units (“SKUs”), across a range of cannabis product categories, including flower, pre-rolls, concentrates, vapes, edibles, and other cannabis-related products. As of June 30, 2023, we have 31 open and operating retail locations and expect to have 39 retail locations by mid-2024. Our new store opening plans are flexible and will ultimately depend on market conditions, local licensing, construction, and other regulatory permissions. All of our expansion plans are subject to capital allocations decisions, the evolving regulatory environment, and the COVID-19 pandemic.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Business Developments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AWH continues to further develop its business and operations, including: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entering our seventh market by acquiring four licensed medical cannabis dispensaries in Maryland, as further described below;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opening our ninth dispensary in Illinois, in Tinley Park, which is the Company’s first outlet store in the state of Illinois;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further strengthening our balance sheet by raising $7,000 through a private offering of 9,859 shares of the Company’s Class A common stock, as further described in “</w:t>
      </w:r>
      <w:r>
        <w:rPr>
          <w:rFonts w:ascii="Times New Roman;sans-serif" w:hAnsi="Times New Roman;sans-serif"/>
          <w:b w:val="false"/>
          <w:i/>
          <w:color w:val="000000"/>
          <w:sz w:val="20"/>
        </w:rPr>
        <w:t>Liquidity and Capital Resources</w:t>
      </w:r>
      <w:r>
        <w:rPr>
          <w:rFonts w:ascii="Times New Roman;sans-serif" w:hAnsi="Times New Roman;sans-serif"/>
          <w:b w:val="false"/>
          <w:color w:val="000000"/>
          <w:sz w:val="20"/>
        </w:rPr>
        <w: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Recent and Pending Transactions</w:t>
      </w:r>
    </w:p>
    <w:p>
      <w:pPr>
        <w:pStyle w:val="TextBody"/>
        <w:bidi w:val="0"/>
        <w:spacing w:lineRule="auto" w:line="288" w:before="0" w:after="18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Maryland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27, 2023, the Company acquired 100% of the membership interests of certain entities related to Devi Holdings, Inc. (“Devi”), pursuant to a definitive agreement that was entered into on January 25, 2023 (the “Maryland Agreement”). Through the Maryland Agreement, the Company acquired the four licensed medical cannabis dispensaries that Devi owned and operated in Maryland (“Devi Maryland”). Total consideration at closing consisted of cash consideration of $12,000, subject to customary closing conditions and working capital adjustments, and 5,185 shares of Class A common stock with an estimated fair value of $4,770. Refer to Note 4, “Acquisitions,” in the Financial Statements for additional information related to this transaction. Through this transaction, AWH entered its seventh market and commenced adult-use sales on July 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Ohio Patient Access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12, 2022, the Company entered into a definitive agreement (the “Ohio Agreement”) that provides the Company the option to acquire 100% of the equity of Ohio Patient Access LLC (“OPA”), the holder of a license that grants it the right to operate three medical dispensaries in Ohio, which operations have not yet commenced. The Ohio Agreement is subject to regulatory review and approval. Once the regulatory approval is received, the Company may exercise the option, and the exercise is solely within the Company’s control. The Company may exercise the option until the fifth anniversary of the agreement date or can elect to extend the exercise period for an additional year. Under the Ohio Agreement, the Company will also acquire the real property of the three dispensary locations. In conjunction with the Ohio Agreement, the parties also entered into a support services agreement under which the Company will provide management and advisory services to OPA for a set monthly fee. The parties also entered into a working capital loan agreement under which the Company may, at its full discretion, loan OPA up to $10,000 for general working capital needs. The Company determined OPA is a variable interest entity (“VIE”) and the Company became the primary beneficiary as of the signing date; therefore, OPA is consolidated as a VIE. Refer to Note 8, “Variable Interest Entities,” in the Financial Statements for additional information regarding the Company’s VIEs.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Ohio Agreement also includes an earn-out provision of $7,300 that is dependent upon the commencement of adult-use cannabis sales in Ohio. The sellers may elect to receive the earn-out payment as either cash or shares of the Company’s Class A common stock, or a combination thereof. Refer to Note 4, “Acquisitions,” in the Financial Statements for additional information.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estimated fair value of the transaction consideration was determined to be $24,132 and consists of the fair value of the cash consideration of $19,290 plus the initial estimated fair value of the contingent consideration of $4,842. Of the total cash consideration, $11,300 was funded at signing pursuant to note agreements. The $11,000 payment that is due at final closing was recorded net of a discount of $3,010 based on the estimated payment date utilizing the Company’s incremental borrowing rate. This discounted payment is included within “Long-term debt, net” on the unaudited Condensed Consolidated Balance Sheet in the Financial Statements at June 30, 2023; refer to Note 11, “Debt,” in the Financial Statements for additional information. The estimated fair value of the contingent consideration is included within “Other non-current liabilities” on the unaudited Condensed Consolidated Balance Sheets in the Financial Statements at June 30, 2023 and December 31, 2022.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license intangible asset acquired was determined to have an estimated fair value of $21,684 and the three properties had an estimated fair value of $2,448. Refer to Note 4, “Acquisitions,” in the Financial Statements for additional information related to this transaction.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this transaction, the Company will expand its footprint in Ohio to five dispensaries. The three additional dispensaries are expected to open by the end of 2023. </w:t>
      </w:r>
    </w:p>
    <w:p>
      <w:pPr>
        <w:pStyle w:val="TextBody"/>
        <w:bidi w:val="0"/>
        <w:spacing w:lineRule="auto" w:line="288" w:before="0" w:after="18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Illinois Licenses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2022, the Company entered into definitive agreements to acquire two additional licenses in Illinois for combined total cash consideration of $11,100. Neither of these licenses were associated with active operations at signing and the transfer of each license is subject to regulatory review and approval. Operations at one of the locations commenced during the second quarter of 2023 and the Company anticipates the final closing may occur within the next twelve months. Operations at the second location are expected to commence in late 2023. Refer to Note 4, “Acquisitions,” in the Financial Statements for additional information related to these transactions.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Operational and Regulation Overview</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We believe our operations are in material compliance with all applicable state and local laws, regulations, and licensing requirements in the states in which we operate. However, cannabis is illegal under United States federal law. Substantially all of our revenue is derived from United States cannabis operations. For information about risks related to United States cannabis operations, refer to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of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Key Financial Highlights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Revenue increased by $25,489, or 26%, during Q2 2023, as compared to Q2 2022, primarily driven by incremental revenue from new site openings and acquisitions.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Operating loss of $7,985 during Q2 2023, as compared to $605 in Q2 2022, primarily driven by lower gross profit resulting from higher non-cash inventory write-offs and pricing pressure, partially offset by improved overhead utilization.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Net decrease in cash and cash equivalents of $6,100 during the six months ended June 30, 2023, primarily driven by net cash used in investing activities, including payments related to acquisitions, offset by timing of payments related to working capital and operating activities and proceeds from a private placement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Three Months Ended June 30, 2023 Compared with the Three Months Ended June 30, 2022</w:t>
      </w:r>
    </w:p>
    <w:tbl>
      <w:tblPr>
        <w:tblW w:w="8675" w:type="dxa"/>
        <w:jc w:val="left"/>
        <w:tblInd w:w="0" w:type="dxa"/>
        <w:tblLayout w:type="fixed"/>
        <w:tblCellMar>
          <w:top w:w="28" w:type="dxa"/>
          <w:left w:w="28" w:type="dxa"/>
          <w:bottom w:w="28" w:type="dxa"/>
          <w:right w:w="28" w:type="dxa"/>
        </w:tblCellMar>
      </w:tblPr>
      <w:tblGrid>
        <w:gridCol w:w="1119"/>
        <w:gridCol w:w="983"/>
        <w:gridCol w:w="988"/>
        <w:gridCol w:w="109"/>
        <w:gridCol w:w="109"/>
        <w:gridCol w:w="109"/>
        <w:gridCol w:w="211"/>
        <w:gridCol w:w="826"/>
        <w:gridCol w:w="256"/>
        <w:gridCol w:w="109"/>
        <w:gridCol w:w="109"/>
        <w:gridCol w:w="109"/>
        <w:gridCol w:w="211"/>
        <w:gridCol w:w="796"/>
        <w:gridCol w:w="256"/>
        <w:gridCol w:w="109"/>
        <w:gridCol w:w="109"/>
        <w:gridCol w:w="109"/>
        <w:gridCol w:w="284"/>
        <w:gridCol w:w="972"/>
        <w:gridCol w:w="147"/>
        <w:gridCol w:w="189"/>
        <w:gridCol w:w="189"/>
        <w:gridCol w:w="267"/>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122,988 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97,499 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Gross profit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23.0 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33.8 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(9,095)</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22,658 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249%</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(21,172)</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*Not meaningful</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by $25,489, or 26%, during the three months ended June 30, 2023, as compared to the three months ended June 30, 2022. Our revenue growth was primarily driven by $13,162 of incremental revenue from new dispensaries that opened during 2022 and 2023, which includes a benefit from the commencement of adult-use sales at our New Jersey dispensaries that began in 2022, partially offset by a decrease of $8,320 across our legacy locations, primarily in Illinois due to market competition. Additionally, we recognized $9,755 of incremental revenue from acquisitions, which includes $1,729 from the Devi Maryland acquisition, $299 related to an Ohio processor that we acquired during the fourth quarter of 2022, and a benefit from store openings associated with licenses acquired during 2022. The current period also benefited from a $10,892 increase in net revenue related to our wholesale operations, primarily driven by an increase in wholesale volume sold across our operations, but partially offset by pricing pressure. As of June 30, 2023, we had 640 SKUs for our cultivation products, compared to 387 SKUs as of June 30, 2022.</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Goods Sold and Gross Profit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sold increased by $30,138, or 47%, during the three months ended June 30, 2023, as compared to the three months ended June 30, 2022. Cost of goods sold represents direct and indirect expenses attributable to the production of wholesale products as well as direct expenses incurred in purchasing products from other wholesalers. Gross profit for the three months ended June 30, 2023 was $28,319, representing a gross margin of 23.0%, compared to gross profit of $32,968 and gross margin of 33.8% for the three months ended June 30, 2022. The decrease in gross margin was primarily driven by pricing pressure and lower margins from our outlet stores, partially offset by improved utilization and production at our Massachusetts and New Jersey cultivation facilities. Additionally, the current period included $6,172 of write-downs of certain inventory items primarily within our Michigan and Massachusetts businesses due to pricing pressure, compared with total write-downs of $112 in the prior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$2,731, or 8%, during the three months ended June 30, 2023, as compared to the three months ended June 30, 2022. The increase was primarily driven by: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$3,983 increase in depreciation and amortization expense due to $3,465 of incremental amortization of licenses driven by prior year acquisitions and $518 of incremental depreciation expense due to a larger average balance of fixed assets in service;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$1,804 estimated reserve for a note receivable.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increases were partially offset by: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$1,772 lower overhead due to improved utilization at our cultivation facilities;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$1,116 decrease in compensation expense, including $1,690 lower equity-based compensation expense;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$1,026 lower fees related to professional services, external support, and legal expenses.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$1,235, or 13%, during the three months ended June 30, 2023, as compared to the three months ended June 30, 2022. The increase was primarily driven by higher cash interest expense in the current year based on average outstanding borrowings under our credit facility and higher non-cash interest accretion related to a financing agreement, partially offset by the absence of $2,180 of non-cash interest expense incurred in the prior year in connection with the additional draw under our credit facility. During the three months ended June 30, 2023, the Company had a weighted-average outstanding debt balance of $326,528 with a weighted-average interest rate of 9.8%, excluding finance leases, compared to a weighted-average debt balance of $259,219 during the three months ended June 30, 2022 with a weighted-average interest rate of 9.6%.</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Other, net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net increased by $23,893 during the three months ended June 30, 2023, as compared to the three months ended June 30, 2022, primarily driven by the recognition of $22,794 related to an employee retention tax credit claim (the “ERTC Claim”) and $1,081 of higher interest income largely attributable to a new loan receivable.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 Company operates in the cannabis industry, it is subject to the limitations of Internal Revenue Code (“IRC”) Section 280E, which prohibits businesses engaged in the trafficking of Schedule I or Schedule II controlled substances from deducting ordinary and necessary business expenses from gross profit. Cannabis businesses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can be highly variable and may not necessarily correlate with pre-tax income or loss. Effective during the second quarter of 2023, Illinois and New Jersey, two states in which the Company has significant operations, began permitting cannabis businesses to deduct ordinary and necessary business expenses from gross profit for state tax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statutory federal tax rate was 21% during both periods. During the three months ended June 30, 2023 the Company had operations in seven U.S. geographic markets: Illinois, Maryland, Massachusetts, Michigan, New Jersey, Ohio, and Pennsylvania, which have state tax rates ranging from 6% to 11.5%. Certain states, including Michigan, Illinois, and New Jersey, do not align with IRC Section 280E for state tax purposes and permit the deduction of ordinary and necessary business expenses from gross profit in the calculation of state taxable income. There have been no material changes to income tax matters in connection with the normal course of our operations during the current year.</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was $4,737, or 16.7%, of gross profit, during the three months ended June 30, 2023, as compared to $11,472, or 34.8%, of gross profit, during the three months ended June 30, 2022. The effective tax rate on gross profit for the three months ended June 30, 2023 benefited from a change in state tax legislation in Illinois and New Jersey that resulted in a higher deduction of ordinary and necessary business expenses and thereby reduced taxable income. The effective tax rate on gross profit for the three months ended June 30, 2023 also benefited from an incremental impact attributable to the tax accounting treatment of certain acquired intangible assets, partially offset by the tax impact of the ERTC Claim.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Six Months Ended June 30, 2023 Compared with the Six Months Ended June 30, 2022</w:t>
      </w:r>
    </w:p>
    <w:tbl>
      <w:tblPr>
        <w:tblW w:w="8730" w:type="dxa"/>
        <w:jc w:val="left"/>
        <w:tblInd w:w="0" w:type="dxa"/>
        <w:tblLayout w:type="fixed"/>
        <w:tblCellMar>
          <w:top w:w="28" w:type="dxa"/>
          <w:left w:w="28" w:type="dxa"/>
          <w:bottom w:w="28" w:type="dxa"/>
          <w:right w:w="28" w:type="dxa"/>
        </w:tblCellMar>
      </w:tblPr>
      <w:tblGrid>
        <w:gridCol w:w="1119"/>
        <w:gridCol w:w="983"/>
        <w:gridCol w:w="988"/>
        <w:gridCol w:w="109"/>
        <w:gridCol w:w="109"/>
        <w:gridCol w:w="109"/>
        <w:gridCol w:w="211"/>
        <w:gridCol w:w="826"/>
        <w:gridCol w:w="256"/>
        <w:gridCol w:w="109"/>
        <w:gridCol w:w="109"/>
        <w:gridCol w:w="109"/>
        <w:gridCol w:w="211"/>
        <w:gridCol w:w="826"/>
        <w:gridCol w:w="256"/>
        <w:gridCol w:w="109"/>
        <w:gridCol w:w="109"/>
        <w:gridCol w:w="109"/>
        <w:gridCol w:w="270"/>
        <w:gridCol w:w="1019"/>
        <w:gridCol w:w="139"/>
        <w:gridCol w:w="188"/>
        <w:gridCol w:w="188"/>
        <w:gridCol w:w="269"/>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237,164 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182,589 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64,023 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Gross profit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27.0 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(15,023)</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(27,531)</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(17,631)</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(48,987)</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(31,356)</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*Not meaningful</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by $54,575, or 30%, during the six months ended June 30, 2023, as compared to the six months ended June 30, 2022. Our revenue growth was primarily driven by $21,670 of incremental revenue from new dispensaries that opened during 2022 and 2023, which includes a benefit from the commencement of adult-use sales at our New Jersey dispensaries that began in 2022, partially offset by a decrease of $672 across our legacy locations, primarily in Illinois due to market competition. Additionally, we recognized incremental revenue from acquisitions of $13,311, which includes $1,729 from the Devi Maryland acquisition, $556 related to an Ohio processor that we acquired during the fourth quarter of 2022, and a benefit from store openings associated with licenses acquired during 2022. The current period also benefited from a $20,266 increase in net revenue related to our wholesale operations, primarily driven by an increase in wholesale volume sold, but partially offset by pricing pressure. As of June 30, 2023, we had 640 SKUs for our cultivation products, compared to 387 SKUs as of June 30, 2022.</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Goods Sold and Gross Profit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increased by $46,967, or 37%, during the six months ended June 30, 2023, as compared to the six months ended June 30, 2022. Cost of goods sold represents direct and indirect expenses attributable to the production of wholesale products as well as direct expenses incurred in purchasing products from other wholesalers. Gross profit for the six months ended June 30, 2023 was $64,023, representing a gross margin of 27.0%, compared to gross profit of $56,415 and gross margin of 30.9% for the six months ended June 30, 2022. The decrease in gross margin was primarily driven by pricing pressure and lower margins from our outlet stores, partially offset by improved utilization and production at our Massachusetts and New Jersey cultivation facilities. Additionally, the current period included $10,114 of write-downs of certain inventory items primarily within our Michigan and Massachusetts businesses due to pricing pressure in those markets, compared with total write-downs of $2,316 in the prior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$4,953, or 7%, during the six months ended June 30, 2023, as compared to the six months ended June 30, 2022. The increase was primarily related to: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$8,643 increase in depreciation and amortization expense due to $7,319 of incremental amortization of licenses driven by prior year acquisitions and $1,324 of incremental depreciation expense due to a larger average balance of fixed assets in service;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$1,804 estimated reserve for a note receivable;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 $872 increase in compensation expense, net of $1,239 lower equity-based compensation expense.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increases were partially offset by: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$3,518 decrease in professional services, external support, and legal expenses;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$2,311 lower overhead due to improved utilization at our cultivation facilities.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Settlement Expense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2022, we recognized an expense of $5,000 related to the settlement of a stockholder dispute.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$4,179, or 27%, during the six months ended June 30, 2023, as compared to the six months ended June 30, 2022. The increase was primarily driven by higher cash interest expense based on average outstanding borrowings under our credit facility and higher non-cash interest accretion related to a financing agreement, partially offset by $2,180 of non-cash interest expense incurred in the prior year in connection with the additional draw under our credit facility. During the six months ended June 30, 2023, the Company had a weighted-average outstanding debt balance of $330,816 with a weighted-average interest rate of 9.8%, excluding finance leases, compared to a weighted-average debt balance of $250,224 during the six months ended June 30, 2022 with a weighted-average interest rate of 9.6%.</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Other, net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net increased by $24,055 during the six months ended June 30, 2023, as compared to the six months ended June 30, 2022, primarily driven by the recognition of the $22,794 ERTC Claim and $1,174 of higher interest income largely attributable to a new loan receivable.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was $14,754, or 23.0%, of gross profit, during the six months ended June 30, 2023, as compared to $18,579, or 32.9%, of gross profit, during the six months ended June 30, 2022. The effective tax rate on gross profit for the six months ended June 30, 2023 benefited from a change in state tax legislation in Illinois and New Jersey that resulted in a higher deduction of ordinary and necessary business expenses and thereby reduced taxable income. The effective tax rate on gross profit for the six months ended June 30, 2023 also benefited from an incremental impact attributable to the tax accounting treatment of certain acquired intangible assets, partially offset by the tax impact of the ERTC Claim.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Gross Profit” as gross profit excluding non-cash inventory costs, which include depreciation and amortization included in cost of goods sold, equity-based compensation included in cost of goods sold, start-up costs included in cost of goods sold, and other non-cash inventory adjustments.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income or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litigation settlement; and gain or loss on sale of assets. Accordingly, management believes that Adjusted EBITDA provides meaningful and useful financial information, as this measure demonstrates the operating performance of the business. Non-GAAP financial measures may be considered in addition to the results prepared in accordance with U.S. GAAP, but they should not be considered a substitute for, or superior to, U.S. GAAP results.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Adjusted Gross Profit for the three and six months ended June 30, 2023 and 2022:</w:t>
      </w:r>
    </w:p>
    <w:tbl>
      <w:tblPr>
        <w:tblW w:w="10205" w:type="dxa"/>
        <w:jc w:val="left"/>
        <w:tblInd w:w="0" w:type="dxa"/>
        <w:tblLayout w:type="fixed"/>
        <w:tblCellMar>
          <w:top w:w="28" w:type="dxa"/>
          <w:left w:w="28" w:type="dxa"/>
          <w:bottom w:w="28" w:type="dxa"/>
          <w:right w:w="28" w:type="dxa"/>
        </w:tblCellMar>
      </w:tblPr>
      <w:tblGrid>
        <w:gridCol w:w="1617"/>
        <w:gridCol w:w="1408"/>
        <w:gridCol w:w="1400"/>
        <w:gridCol w:w="211"/>
        <w:gridCol w:w="721"/>
        <w:gridCol w:w="256"/>
        <w:gridCol w:w="109"/>
        <w:gridCol w:w="109"/>
        <w:gridCol w:w="109"/>
        <w:gridCol w:w="211"/>
        <w:gridCol w:w="721"/>
        <w:gridCol w:w="256"/>
        <w:gridCol w:w="109"/>
        <w:gridCol w:w="109"/>
        <w:gridCol w:w="109"/>
        <w:gridCol w:w="211"/>
        <w:gridCol w:w="721"/>
        <w:gridCol w:w="256"/>
        <w:gridCol w:w="109"/>
        <w:gridCol w:w="109"/>
        <w:gridCol w:w="109"/>
        <w:gridCol w:w="211"/>
        <w:gridCol w:w="721"/>
        <w:gridCol w:w="303"/>
      </w:tblGrid>
      <w:tr>
        <w:trPr/>
        <w:tc>
          <w:tcPr>
            <w:tcW w:w="161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64,023 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56,415 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included in 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6,896 </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included in cost of goods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Start-up costs included in cost of goods sold</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Non-cash inventory adjustments</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92,518 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80,960 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Gross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36.5 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45.6 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39.0 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44.3 </w:t>
            </w:r>
          </w:p>
        </w:tc>
        <w:tc>
          <w:tcPr>
            <w:tcW w:w="3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Incremental expenses associated with the expansion of activities at our cultivation facilities that are not yet operating at scale, including excess overhead expenses resulting from delays in regulatory approvals at certain cultivation facilities.</w:t>
      </w:r>
      <w:r>
        <w:rPr>
          <w:color w:val="000000"/>
        </w:rPr>
        <w:t xml:space="preserve"> </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Consists of write-offs of expired products, obsolete packaging, and net realizable value adjustments related to certain inventory items.</w:t>
      </w:r>
    </w:p>
    <w:p>
      <w:pPr>
        <w:pStyle w:val="TextBody"/>
        <w:bidi w:val="0"/>
        <w:spacing w:before="0" w:after="180"/>
        <w:ind w:left="0" w:right="0" w:firstLine="720"/>
        <w:jc w:val="both"/>
        <w:rPr/>
      </w:pPr>
      <w:r>
        <w:rPr/>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Adjusted EBITDA for the three and six months ended June 30, 2023 and 2022:</w:t>
      </w:r>
    </w:p>
    <w:tbl>
      <w:tblPr>
        <w:tblW w:w="10205" w:type="dxa"/>
        <w:jc w:val="left"/>
        <w:tblInd w:w="0" w:type="dxa"/>
        <w:tblLayout w:type="fixed"/>
        <w:tblCellMar>
          <w:top w:w="28" w:type="dxa"/>
          <w:left w:w="28" w:type="dxa"/>
          <w:bottom w:w="28" w:type="dxa"/>
          <w:right w:w="28" w:type="dxa"/>
        </w:tblCellMar>
      </w:tblPr>
      <w:tblGrid>
        <w:gridCol w:w="1580"/>
        <w:gridCol w:w="1320"/>
        <w:gridCol w:w="1323"/>
        <w:gridCol w:w="211"/>
        <w:gridCol w:w="721"/>
        <w:gridCol w:w="256"/>
        <w:gridCol w:w="109"/>
        <w:gridCol w:w="109"/>
        <w:gridCol w:w="109"/>
        <w:gridCol w:w="211"/>
        <w:gridCol w:w="788"/>
        <w:gridCol w:w="256"/>
        <w:gridCol w:w="109"/>
        <w:gridCol w:w="109"/>
        <w:gridCol w:w="109"/>
        <w:gridCol w:w="211"/>
        <w:gridCol w:w="788"/>
        <w:gridCol w:w="256"/>
        <w:gridCol w:w="109"/>
        <w:gridCol w:w="109"/>
        <w:gridCol w:w="109"/>
        <w:gridCol w:w="211"/>
        <w:gridCol w:w="788"/>
        <w:gridCol w:w="304"/>
      </w:tblGrid>
      <w:tr>
        <w:trPr/>
        <w:tc>
          <w:tcPr>
            <w:tcW w:w="158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4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(48,987)</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12,685 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Non-cash inventory adjustments</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Start-up costs</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Transaction-related and other non-recurring expenses</w:t>
            </w:r>
            <w:r>
              <w:rPr>
                <w:rFonts w:ascii="Times New Roman;sans-serif" w:hAnsi="Times New Roman;sans-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37,261 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EBITDA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17.3 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21.4 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18.8 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20.4 </w:t>
            </w:r>
          </w:p>
        </w:tc>
        <w:tc>
          <w:tcPr>
            <w:tcW w:w="3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Consists of write-offs of expired products, obsolete packaging, and net realizable value adjustments related to certain inventory items.</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One-time costs associated with acquiring real estate, obtaining licenses and permits, and other costs incurred before commencement of operations at certain locations, as well as incremental expenses associated with the expansion of activities at our cultivation facilities that are not yet operating at scale, including excess overhead expenses resulting from delays in regulatory approvals at certain cultivation facilities. Also includes other one-time or non-recurring expenses, as applicable.</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Legal and professional fees associated with litigation matters, potential acquisitions, and other regulatory matters and other non-recurring expenses. The three and six months ended June 30, 2023 includes a fair value adjustment related to the OPA acquisition earn-out of $497 and $988, respectively, and also includes a $1,804 reserve on a note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and our primary sources of liquidity are operating cash flows, borrowings through the issuance of debt,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adult-use cannabis markets, for capital expenditures and improvements in existing facilities, product development and marketing, as well as customer, supplier, and investor and industry relations.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Financing History and Future Capital Requirements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used private financing as a source of liquidity for short-term working capital needs and general corporate purposes. In May 2021, we completed an IPO of shares of our Class A common stock through which we raised aggregate net proceeds of approximately $86,065, after deducting underwriting discounts and commissions and certain direct offering expenses paid by us, and in August 2021 we entered into a credit facility under which we initially borrowed a $210,000 term loan. During the second quarter of 2022, we borrowed an additional $65,000 of term loans from certain lenders under the expansion feature of the credit facility, as further described below. Most recently, during the second quarter of 2023, we raised an aggregate of $7,000 in gross proceeds through a non-brokered private placement offering of an aggregate of 9,859 shares of the Company’s Class A common stock to a single investor.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we had total current liabilities of $124,653 and $110,949, respectively, and total current assets of $213,143 and $198,743, respectively, which includes cash and cash equivalents of $68,046 and $74,146, respectively, to meet our current obligations. As of June 30, 2023, we had working capital of $88,490, compared to $87,794 as of December 31, 2022.</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92% and 90% of our cash and cash equivalents balance as of June 30, 2023 and December 31, 2022, respectively, is on deposit with banks, credit unions, or other financial institutions. We have not experienced any material impacts related to banking restrictions applicable to cannabis businesses. Our cash and cash equivalents balance is not restricted for use by variable interest entities.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reflected in the Financial Statements, we had an accumulated deficit as of June 30, 2023 and December 31, 2022, as well as a net loss for the six months ended June 30, 2023 and 2022,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we are unable to raise additional capital on favorable terms, if at all, whenever necessary, we may be forced to decelerate or curtail certain of our operations until such time as additional capital becomes available.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Credit Facility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we entered into a credit facility (the “2021 Credit Facility”) which provided for an initial term loan of $210,000. We had the ability to request an increase in the 2021 Credit Facility up to $275,000 if the existing lenders (or other lenders) agreed to provide such additional term loans. During the second quarter of 2022, we borrowed an additional $65,000 of incremental term loans through this expansion feature (the “2022 Loans”) for total borrowings of $275,000 outstanding as of June 30, 2023. The 2021 Credit Facility matures on August 27, 2025 and does not require scheduled principal amortization payments. Borrowings under the 2021 Credit Facility bear interest at a rate of 9.5% per annum, payable quarterly. The initial proceeds from the 2021 Credit Facility were used,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part, to prepay certain then-outstanding debt obligations and, together with the 2022 Loans, fund working capital and general corporate matters, including, but not limited to, growth investments, acquisitions, capital expenditures, and other strategic initiatives.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Mandatory prepayments are required following certain events, including the proceeds of indebtedness that is not permitted under the agreement, asset sales, and casualty events, subject to customary reinvestment rights. We may prepay the 2021 Credit Facility at any time, subject to a customary make-whole payment or prepayment penalty, as applicable. Once repaid, amounts borrowed under the 2021 Credit Facility may not be re-borrowed. We may request an extension of the maturity date for 364 days, subject to the lenders’ discretion.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comply with two financial covenants under the 2021 Credit Agreement. Liquidity (defined as unrestricted cash and cash equivalents pledged under the 2021 Credit Facility plus any future revolving credit availability) may not be below $20,000 as of the last day of any fiscal quarter, and we may not permit the ratio of Consolidated EBITDA (as defined in the 2021 Credit Agreement) to consolidated cash interest expense for any period of four consecutive fiscal quarters to be less than 2.50:1.00. The Company has a customary equity cure right for each of these financial covenants. The Company is in compliance with these covenants as of June 30, 2023. Refer to Note 11, “Debt,” in the Financial Statements for additional information.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Financing Agreement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we received $19,364 pursuant to a financing agreement with a third-party lender (the “Financing Agreement”). The Company assigned to the lender its interests in the ERTC Claim that it submitted in November 2022 totaling approximately $22,794.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in full, or other full repayment. During the three and six months ended June 30, 2023, the Company received $17,520 of the ERTC Claim, which was remitted to the lender per the terms of the Financing Agreement, and recorded a receivable of $5,274 for the remaining claim amount that is outstanding as of June 30, 2023. The total claim amount of $22,794 was recognized as a component of “Other, net” on the unaudited Condensed Consolidated Statements of Operations in the Financial Statements during the three and six months ended June 30, 2023. Refer to Note 11, “Debt,” in the Financial Statements for additional information.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Cash Flows</w:t>
      </w:r>
    </w:p>
    <w:tbl>
      <w:tblPr>
        <w:tblW w:w="6743" w:type="dxa"/>
        <w:jc w:val="left"/>
        <w:tblInd w:w="0" w:type="dxa"/>
        <w:tblLayout w:type="fixed"/>
        <w:tblCellMar>
          <w:top w:w="28" w:type="dxa"/>
          <w:left w:w="28" w:type="dxa"/>
          <w:bottom w:w="28" w:type="dxa"/>
          <w:right w:w="28" w:type="dxa"/>
        </w:tblCellMar>
      </w:tblPr>
      <w:tblGrid>
        <w:gridCol w:w="1526"/>
        <w:gridCol w:w="1342"/>
        <w:gridCol w:w="1346"/>
        <w:gridCol w:w="211"/>
        <w:gridCol w:w="721"/>
        <w:gridCol w:w="109"/>
        <w:gridCol w:w="109"/>
        <w:gridCol w:w="109"/>
        <w:gridCol w:w="109"/>
        <w:gridCol w:w="211"/>
        <w:gridCol w:w="796"/>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$31,175 during the six months ended June 30, 2023, as compared to net cash used in operating activities of $20,505 during the six months ended June 30, 2022. The change was primarily driven by the recognition of the $22,794 ERTC Claim, of which $17,520 was received, as well as the timing of payments to suppliers and vendors and other working capital payments, and the timing and amount of income tax payments.</w:t>
      </w:r>
    </w:p>
    <w:p>
      <w:pPr>
        <w:pStyle w:val="TextBody"/>
        <w:bidi w:val="0"/>
        <w:spacing w:before="0" w:after="18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decreased by $23,406 during the six months ended June 30, 2023, as compared to the six months ended June 30, 2022. The decrease was primarily due to lower payments associated with acquisitions and lower capital expenditures, including a benefit from reimbursements under tenant improvement allowances, partially offset by lower proceeds from the sale of assets and higher investments in notes receivable. </w:t>
      </w:r>
    </w:p>
    <w:p>
      <w:pPr>
        <w:pStyle w:val="TextBody"/>
        <w:bidi w:val="0"/>
        <w:spacing w:lineRule="auto" w:line="288" w:before="0" w:after="18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was $12,339 during the six months ended June 30, 2023, as compared to net cash provided by financing activities of $53,917 during the six months ended June 30, 2022. The change primarily due to higher repayments of debt in the current year and the absence of proceeds from the issuance of debt in the prior year, partially offset by proceeds from a private placement offering in the current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Contractual Obligations and Other Commitments and Contingencies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Material contractual obligations arising in the normal course of business primarily consist of long-term fixed rate debt and related interest payments, leases, finance arrangements, and amounts due for acquisitions. We believe that cash flows from operations will be sufficient to satisfy our capital expenditures, debt services, working capital needs, and other contractual obligations for the next twelve months.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material future contractual obligations as of June 30, 2023:</w:t>
      </w:r>
    </w:p>
    <w:tbl>
      <w:tblPr>
        <w:tblW w:w="10205" w:type="dxa"/>
        <w:jc w:val="left"/>
        <w:tblInd w:w="0" w:type="dxa"/>
        <w:tblLayout w:type="fixed"/>
        <w:tblCellMar>
          <w:top w:w="28" w:type="dxa"/>
          <w:left w:w="28" w:type="dxa"/>
          <w:bottom w:w="28" w:type="dxa"/>
          <w:right w:w="28" w:type="dxa"/>
        </w:tblCellMar>
      </w:tblPr>
      <w:tblGrid>
        <w:gridCol w:w="895"/>
        <w:gridCol w:w="747"/>
        <w:gridCol w:w="751"/>
        <w:gridCol w:w="109"/>
        <w:gridCol w:w="109"/>
        <w:gridCol w:w="109"/>
        <w:gridCol w:w="211"/>
        <w:gridCol w:w="976"/>
        <w:gridCol w:w="109"/>
        <w:gridCol w:w="109"/>
        <w:gridCol w:w="109"/>
        <w:gridCol w:w="109"/>
        <w:gridCol w:w="297"/>
        <w:gridCol w:w="1015"/>
        <w:gridCol w:w="155"/>
        <w:gridCol w:w="109"/>
        <w:gridCol w:w="109"/>
        <w:gridCol w:w="109"/>
        <w:gridCol w:w="211"/>
        <w:gridCol w:w="826"/>
        <w:gridCol w:w="109"/>
        <w:gridCol w:w="109"/>
        <w:gridCol w:w="109"/>
        <w:gridCol w:w="109"/>
        <w:gridCol w:w="217"/>
        <w:gridCol w:w="744"/>
        <w:gridCol w:w="112"/>
        <w:gridCol w:w="109"/>
        <w:gridCol w:w="109"/>
        <w:gridCol w:w="109"/>
        <w:gridCol w:w="211"/>
        <w:gridCol w:w="826"/>
        <w:gridCol w:w="158"/>
      </w:tblGrid>
      <w:tr>
        <w:trPr/>
        <w:tc>
          <w:tcPr>
            <w:tcW w:w="89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Commitments Due by Period</w:t>
            </w:r>
          </w:p>
        </w:tc>
      </w:tr>
      <w:tr>
        <w:trPr/>
        <w:tc>
          <w:tcPr>
            <w:tcW w:w="2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Contractual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Remainder of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2026 - 2027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Term notes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Fixed interest related to term notes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Sellers’ Notes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Finance arrangements</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leases</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Finance leases</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commitments</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91,053 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526,584 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Principal payments due under our term notes payable. Refer to Note 11, “Debt,” in the Financial Statements for additional information.</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Represents fixed interest rate payments on borrowings under the 2021 Credit Facility based on the principal outstanding at June 30, 2023. Interest payments could fluctuate based on prepayments or additional amounts borrowed. </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Consists of amounts owed for acquisitions or other purchases. Certain cash payments include an interest accretion component, and the timing of certain payments may vary based on regulatory approval. Refer to Note 11, “Debt,” in the Financial Statements for additional information. This amount excludes the potential earn-out payment related to the OPA acquisition that has an estimated fair value of $6,064 at June 30, 2023 and is dependent upon the commencement of adult-use cannabis sales in Ohio. Refer to Note 4, “Acquisitions,” in the Financial Statements for additional information.</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Reflects our contractual obligations to make future payments under non-cancelable operating leases that did not meet the criteria to qualify for sale-leaseback treatment. Refer to Note 10, “Leases,” in the Financial Statements for additional information.</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Reflects our contractual obligations to make future payments under non-cancelable leases. Refer to Note 10, “Leases,” in the Financial Statements for additional information.</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(6)</w:t>
      </w:r>
      <w:r>
        <w:rPr>
          <w:rFonts w:ascii="Times New Roman;sans-serif" w:hAnsi="Times New Roman;sans-serif"/>
          <w:b w:val="false"/>
          <w:color w:val="000000"/>
          <w:sz w:val="18"/>
        </w:rPr>
        <w:t xml:space="preserve">Related to the Story of PA CR, LLC acquisition. Refer to Note 4, “Acquisitions,” in the Financial Statements for additional information. We expect to fund up to an additional total of $10,000 under the research collaboration agreement over the ten years following the agreement date. Since the timing of the payments may vary, this amount has been excluded from the table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filing, we do not have any off-balance sheet arrangements, as defined by applicable regulations of the SEC, that have, or are reasonably likely to have, a material current or future effect on the results of our operations or financial condition, including, and without limitation, such considerations as liquidity and capital resources.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capital expenditures, net of tenant improvement allowances, of approximately $15,000 to $20,000 during the remainder of 2023. Changes to this estimate could result from the timing of various project start dates, which are subject to local and regulatory approvals, as well as capital allocation considerations. Spending at our cultivation and processing facilities includes: construction; purchase of capital equipment such as extraction equipment, heating, ventilation, and air conditioning equipment, and other manufacturing equipment; general maintenance; and information technology capital expenditures. Dispensary-related capital expenditures includes construction costs for the initial build-out of each location, general maintenance costs, and upgrades to existing locations.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remainder of 2023, we expect to complete the build out of the three dispensaries in Ohio related to the OPA transaction, complete certain projects at the newly acquired dispensaries in Maryland, and build out two total additional dispensaries in Illinois and Michigan. We also anticipate completing certain expansion projects across our cultivation facilities, as well as general maintenance activities across our cultivation facilities and dispensary locations. Management expects to fund capital expenditures by utilizing cash flows from operations and reimbursements under tenant improvement allowances from sale leaseback transactions.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our construction in progress (“CIP”) balance was $17,430 and relates to capital spending on projects that were not yet complete. This balance includes amounts related to: the expansion of our New Jersey cultivation facility; certain projects at our Illinois cultivation facility; the build out of dispensaries in Ohio; and other projects across our dispensaries and cultivation facilities.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 total of 9,994 restricted common shares had been issued under the equity incentive plan approved in 2020 (the “2020 Plan”), of which 125 were unvested as of June 30, 2023.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options, stock appreciation rights, restricted stock awards, restricted stock units (“RSUs”), and other stock-based awards (collectively the “2021 Plan Awards”). On March 9, 2023, the Company’s board of directors unanimously approved, subject to stockholder approval, an amendment to the 2021 Plan (the “Amendment”) to increase the maximum number of shares of Class A common stock available for issuance under the 2021 Plan to an amount not to exceed 10% of the total number of issued and outstanding shares of Class A common stock, on a non-diluted basis, as constituted on the grant date of an award pursuant to the 2021 Plan. On May 5, 2023, the stockholders of the Company voted to approve the Amendment. As of June 30, 2023, there were 2,162 shares of Class A common stock available for grant for future equity-based compensation awards under the 2021 Plan.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the Company granted a total of 9,870 RSUs under the 2021 Plan. As of June 30, 2023, a total of 21,822 RSUs have been granted under the 2021 Plan, of which 13,776 are unvested as of June 30, 2023. Total unrecognized compensation cost related to the RSUs was $31,162 as of June 30, 2023, which is expected to be recognized over a weighted-average remaining period of 2.1 years. </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4,826 stock option awards are outstanding as of June 30, 2023, of which 272 are exercisable. During the six months ended June 30, 2023, 3,048 options were granted and none were exercised. The outstanding options have a remaining weighted-average contractual life of 4.5 years as of June 30, 2023, and total unrecognized stock-based compensation expense related to unvested options was $3,288, which is expected to be recognized over a weighted-average remaining period of 3.2 years.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equity-based compensation expense was $4,457 and $5,915 during the three months ended June 30, 2023 and 2022, respectively, of which $2,259 and $2,027, respectively, was capitalized to inventory. As of June 30, 2023 and December 31, 2022, $2,414 and $536, respectively, remains capitalized in inventory. During the three months ended June 30, 2023 and 2022, we recognized $2,198 and $3,888, respectively, within “General and administrative expenses” on the unaudited Condensed Consolidated Statements of Operations in the Financial Statements and recognized $1,931 and $3,167, respectively, within “Cost of goods sold.” During the six months ended June 30, 2023 and 2022, we recognized $5,153 and $6,392, respectively, within “General and administrative expenses” and we recognized $1,981 and $7,162, respectively, within “Cost of goods sold.” Refer to Note 13, “Equity-Based Compensation Expense,” in the Financial Statements for additional information.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adopted an employee stock purchase plan (the “2021 ESPP”), pursuant to which 4,000 shares of Class A common stock are reserved for issuance thereunder, subject to certain adjustments and other terms. As of June 30, 2023, no shares have been issued under the 2021 ESPP.</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Lease-Related Transactions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we amended the lease related to our Franklin, New Jersey cultivation facility to increase the tenant improvement allowance, which resulted in increased rent amounts. We accounted for the amendment as a lease modification and remeasured the ROU asset and lease liability as of the amendment date. The modification resulted in a total additional tenant improvement allowance of $15,000, a reduction of $2,254 to the right of use (“ROU”) asset, and an increase of $12,746 to the lease liability.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we sold and subsequently leased back one of our capital assets in Pennsylvania for total proceeds of $15,000, excluding transaction costs. The transaction met the criteria for sale leaseback treatment. The lease was recorded as an operating lease and resulted in a lease liability of $12,758 and an ROU asset of $19,496, which includes an off-market lease adjustment of $6,738.</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10, “Leases,” in the Financial Statements for additional information regarding the Company’s leases.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Loan Receivable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the Company purchased $12,027 of the outstanding principal, at par, of a loan agreement (the “Maryland Loan Receivable”), plus the associated interest receivable. The agreement underlying the Maryland Loan Receivable (the “Maryland Loan Agreement”) is with a cannabis license holder in Maryland, matures on August 1, 2026, and provides for a base interest rate of 12.0% plus LIBOR (LIBOR floor of 1.0%) and a paid-in-kind (“PIK”) interest rate of 4.50%. The Maryland Loan Agreement requires monthly repayments equal to 10.0% of the outstanding balance (including PIK interest) and may be prepaid, subject to a customary make-whole payment or prepayment penalty, as applicable.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Maryland Loan Receivable at an amortized cost basis of $12,622, which included a total of $595 of transaction-related expenses. The Company identified certain events of default and covenant violations as of June 30, 2023, including non-payment, and provided an acceleration notice declaring all amounts due and payable. During each of the three and six months ended June 30, 2023, the Company recognized a total of $965 of interest income, including certain default fees and premiums and PIK interest, which total remained outstanding as of June 30, 2023 and is recorded within “Other, net” on the accompanying unaudited Condensed Consolidated Statements of Operations in the Financial Statements. As of June 30, 2023, the all-in interest rate was 26.6%, which included a default penalty of 5%. Following the replacement of LIBOR, effective July 1, 2023, the interest rate transitioned from LIBOR to the secured overnight financing rate (“SOFR”) plus an alternative reference rate committee (“ARRC”) standard adjustment.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during the three and six months ended June 30, 2023, the Company established a reserve of $1,804 for potential collectability that is included within “General and administrative expenses” on the accompanying unaudited Condensed Consolidated Statements of Operations and within “Other” on the unaudited Condensed Consolidated Statements of Cash Flows. Refer to Note 6, “Notes Receivable,” in the Financial Statements for additional information.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COVID-19 Pandemic</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evaluate and implement actions to strengthen our financial position and support the continuity of our business and operations in the face of the COVID-19 pandemic (the “Pandemic”) and other events. Although our operations have not been materially affected to date, the ultimate severity of the Pandemic and its impact on the economic environment remains uncertain. We continue to generate operating cash flows to meet our short-term liquidity needs. While the Pandemic has not had a material impact on our results of operations to date, given the uncertainties associated with the Pandemic, we are unable to estimate the future impact of the Pandemic on our business, financial condition, results of operations, and/or cash flows in future periods. We believe we have sufficient liquidity available from cash and cash equivalents on hand of $68,046 as of June 30, 2023 to enable us to meet our working capital and other operating requirements, fund growth initiatives and capital expenditures, settle our liabilities, and pay scheduled interest payments on debt.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MedMen NY Litigation</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the state of New York. Following the completion of the transactions contemplated by the Investment Agreement, we were expected to hold all the outstanding equity of MMNY. Specifically, the Investment Agreement provided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w:t>
      </w:r>
      <w:r>
        <w:rPr>
          <w:color w:val="000000"/>
        </w:rPr>
        <w:t xml:space="preserve"> </w:t>
      </w:r>
      <w:r>
        <w:rPr>
          <w:rFonts w:ascii="Times New Roman;sans-serif" w:hAnsi="Times New Roman;sans-serif"/>
          <w:b w:val="false"/>
          <w:color w:val="000000"/>
          <w:sz w:val="20"/>
        </w:rPr>
        <w:t>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MMNY, which investment would also be used to repay MMNY’s senior secured lender, if adult-use cannabis sales commenced in MMNY’s dispensaries.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receipt of such notice, on January 13, 2022, the Company filed a complaint against MedMen and others in the Commercial Division of the Supreme Court of the State of New York (the “Court”), requesting specific performance that the transactions contemplated by the Investment Agreement must move forward, and such other relief as the Court may deem appropriate. The Company simultaneously moved for a temporary restraining order and preliminary injunction (the “Motion”) requiring MedMen to operate its New York business in the ordinary course of business and to refrain from any activities or transactions that might impair, encumber, or dissipate MedMen’s New York assets. The parties resolved the Motion via a “Stipulation and Order” entered by the Court on January 21, 2022 that requires that MMNY operate only in compliance with the law and in a manner consistent with its ordinary course of business that preserves all assets of MMNY. It further requires MMNY to not take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actions, including any actions that would have a material adverse effect on MedMen’s New York business. On March 27, 2023, the parties entered a further stipulation that modified the January 21, 2022 Stipulation and Order by lifting the Court’s prohibition against a sale or transfer of MMNY or its assets. That further stipulation modifying the January 21, 2022 Stipulation and Order was entered by the Court on August 1, 2023.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24, 2022, MedMen filed counterclaims against the Company, alleging that Ascend had breached the Investment Agreement, and seeking declaratory relief that MedMen had properly terminated the Investment Agreement. On February 14, 2022, the Company moved to dismiss MedMen’s counterclaims and filed an amended complaint (the “First Amended Complaint”) that included additional claims against MedMen for breach of contract. The First Amended Complaint contained several causes of action, including for breach of contract and breach of the covenant of good faith and fair dealing. The First Amended Complaint sought damages in addition to continuing to seek injunctive and declaratory relief. On March 7, 2022, MedMen filed amended counterclaims, an answer, and affirmative defenses to the First Amended Counterclaim. On March 28, 2022, the Company moved to dismiss MedMen’s amended counterclaims. On April 20, 2022, the parties entered into a stipulation extending the time for MedMen to oppose the Company’s motion to dismiss until May 5, 2022. In addition, the parties agreed to stay all discovery, including both party and non-party discovery. On May 5, 2022, the parties filed another stipulation order with the Court adjourning until further notice from the Court MedMen’s time to oppose the Company’s motion to dismiss MedMen’s amended counterclaims. The parties again stipulated that all discovery remains stayed pending further order from the Court.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2022, the Company and MedMen signed a term sheet (the “Term Sheet”), pursuant to which the parties agreed to use best efforts to enter into a settlement agreement and enter into new or amended transactional documents. Specifically, if consummated, the agreements contemplated by the Term Sheet would entail, among other things, the Company paying MedMen $15,000 in additional transaction consideration, and MedMen withdrawing its counterclaims against the Company. Per the amended transaction terms contemplated in the Term Sheet, upon closing, the Company would receive a 99.99% controlling interest in MMNY and the Company would pay MedMen $74,000, which reflected the original transaction consideration plus an additional $11,000 per the parties’ term sheet, less a $4,000 deposit that the Company already paid.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transaction terms contemplated in the Term Sheet also would have required MedMen to provide a representation and warranty that the status of the MMNY assets has not materially changed since December 31, 2021 and an acknowledgement that the representations and warranties from the Investment Agreement will survive for three months after the closing of the contemplated transactions. After the Company determined that MedMen cannot make or provide the representations and warranties MedMen would have been required to make as part of the contemplated transactions, the Company determined that it no longer intends to consummate the contemplated transactions.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2022, the Company sought leave from the Court to file a second amended complaint (the “Second Amended Complaint”). The Second Amended Complaint contains breach of contract claims against MedMen, as well as a claim for the breach of the implied covenant of good faith and fair dealing, and a claim for anticipatory breach of contract. In connection with those claims, the Company is no longer seeking injunctive or declaratory relief; however, the Company continues to seek damages from MedMen, including, but not limited to, the return of the $4,000 deposit, approximately $2,400 of advances pursuant to a working capital loan agreement (as described in Note 6, “Notes Receivable”) and other capital expenditure advances paid to MMNY by the Company.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21, 2022, the parties entered into a stipulation whereby MedMen agreed to the filing of the Second Amended Complaint, which is now the operative pleading in the litigation. In addition, in the stipulation, the Company agreed that it would not contest MedMen’s filing of second amended counterclaims against the Company while reserving all rights with respect to any such counterclaims, including the right to move to dismiss any amended counterclaims. Because the parties agreed to the filing of each side’s amended pleadings, on November 28, 2022, the Court determined that Ascend’s March 2022 motion to dismiss was moot. </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21, 2022, MedMen filed amended counterclaims, an answer, and affirmative defenses to the Company’s Second Amended Complaint. In addition to the allegations in MedMen’s earlier pleadings, MedMen now also alleges that the Company breached the Term Sheet. On January 20, 2023, the Company moved to dismiss MedMen’s amended counterclaims. The briefing on the Company’s motion to dismiss was completed as of March 3, 2023 and the Court heard oral arguments on that motion on July 18, 2023. The parties are currently awaiting the Court’s decision.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Company’s decision to no longer consummate the contemplated transactions, during the third quarter of 2022, the Company expensed a total of $1,704 of capitalized costs, primarily consisting of capital expenditures or deposits that were incurred for certain locations. Additionally, during the fourth quarter of 2022, the Company established an estimated reserve of $3,700 related to the remaining amounts that it is actively pursuing collecting. The Company determined that the estimated reserve remained adequate as of June 30, 2023 and is included within “Other current assets” on the unaudited Condensed Consolidated Balance Sheets in the Financial Statements at June 30, 2023 and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accompanying Financial Statements are prepared in accordance with U.S. GAAP, which requires us to make certain estimates in the application of our accounting policies based on the best assumptions, judgments, and opinions of our management. The Company’s significant accounting policies are described in Note 2, “Basis of Presentation and Significant Accounting Policies,” in the Financial Statements. For a description of our critical accounting policies, see Item 7., “Management’s Discussion and Analysis of Financial Condition and Results of Operations,” in our Annual Report. There have been no significant changes to our critical accounting policies and estimates, except as disclosed in Note 2, “Basis of Presentation and Significant Accounting Policies,” to the Financial Statements.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Standards and Recently Issued Accounting Pronouncements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information about our recently adopted accounting standards and recently issued accounting standards not yet adopted, see Note 2, “Basis of Presentation and Significant Accounting Policies,” to the Financial Statements.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under federal securities laws and as such we are able to elect to follow scaled disclosure requirements for this filing, including an extended transition period for complying with new or revised accounting standards applicable to public companies.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REGULATORY ENVIRONMENT: ISSUERS WITH UNITED STATES CANNABIS-RELATED ASSETS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Canadian Securities Administration Staff Notice 51-352, information regarding the current federal and state-level United States regulatory regimes in those jurisdictions where we are currently directly and indirectly involved in the cannabis industry, through our subsidiaries and investments, is incorporated by reference from subsections “Overview of Government Regulation,” “Compliance with Applicable State Laws in the United States,” and “State Regulation of Cannabis,” under Item 1., “Business,” of the Company’s Annual Report, as filed with the SEC and with the relevant Canadian securities regulatory authorities under its profile on SEDAR+.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in varying degrees to various market risks, including changes in interest rates, prices of raw materials, and other financial instrument related risks. There have been no material changes in our market risks from those disclosed in Item 7A., “Quantitative and Qualitative Disclosures About Market Risk,” in our Annual Report on Form 10-K for the year ended December 31, 2022.</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Liquidity Risk</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reflected in the Financial Statements, the Company had an accumulated deficit as of June 30, 2023 and December 31, 2022, as well as a net loss for the six months ended June 30, 2023 and 2022,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a.Disclosure Controls and Procedures.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end of the period covered by this report, our Principal Executive Officer and Principal Financial Officer evaluated our disclosure controls and procedures, as such term is defined in Rule 13a-15(e) and 15d-15(e) of the Securities Exchange Act of 1934, as amended (the “Exchange Act”). Based upon that evaluation, our Principal Executive Officers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 and (2) accumulated and communicated to our management, including our Principal Executive Officer and Principal Financial Officer, to allow timely decisions regarding required disclosure. </w:t>
      </w: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b.Changes in Internal Control Over Financial Reporting.</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identified in connection with the evaluation described above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A discussion of our litigation matters occurring in the period covered by this report is found in </w:t>
      </w:r>
      <w:hyperlink w:anchor="id4dd988900b2427988849398aa475118_82">
        <w:r>
          <w:rPr>
            <w:rStyle w:val="InternetLink"/>
            <w:rFonts w:ascii="Times New Roman;sans-serif" w:hAnsi="Times New Roman;sans-serif"/>
            <w:b w:val="false"/>
            <w:color w:val="0000FF"/>
            <w:sz w:val="20"/>
            <w:u w:val="single"/>
          </w:rPr>
          <w:t>Note 15</w:t>
        </w:r>
      </w:hyperlink>
      <w:r>
        <w:rPr>
          <w:rFonts w:ascii="Times New Roman;sans-serif" w:hAnsi="Times New Roman;sans-serif"/>
          <w:b w:val="false"/>
          <w:color w:val="000000"/>
          <w:sz w:val="20"/>
        </w:rPr>
        <w:t>, “Commitments and Contingencies,” to the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filing, there have been no material changes in our risk factors from those disclosed in our Annual Report on Form 10-K for the year ended December 31, 2022, in response to Item 1A., “Risk Factors,” of Part I of the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sales of unregistered securities during the quarter ended June 30, 2023, and from the period from July 1, 2023 to the filing date of this report, which have not been previously disclosed in a prior Current Report on Form 8-K, other than as described below.</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8, 2023, the Company granted 4 million restricted stock units in connection with an employment agreement. For more information, see “August 2023 RSU Grant” in Part II, Item 5., “Other Information”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80"/>
        <w:jc w:val="both"/>
        <w:rPr>
          <w:rFonts w:ascii="Times New Roman;sans-serif" w:hAnsi="Times New Roman;sans-serif"/>
          <w:b/>
          <w:color w:val="000000"/>
          <w:sz w:val="20"/>
          <w:u w:val="single"/>
        </w:rPr>
      </w:pPr>
      <w:r>
        <w:rPr>
          <w:rFonts w:ascii="Times New Roman;sans-serif" w:hAnsi="Times New Roman;sans-serif"/>
          <w:b/>
          <w:color w:val="000000"/>
          <w:sz w:val="20"/>
          <w:u w:val="single"/>
        </w:rPr>
        <w:t>August 2023 RSU Grant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the Company entered into an employment agreement, dated May 9, 2023, with John Hartmann, our new chief executive officer (the “CEO Employment Agreement”). On August 7, 2023, the Company’s board of directors approved the grant of 4 million restricted stock units (the “August 2023 RSUs”), to be granted as a one-time grant under the CEO Employment Agreement, outside of the Company’s 2021 Stock Incentive Plan. Accordingly, on August 8, 2023, Mr. Hartmann was granted the August 2023 RSUs with such award vesting subject to certain conditions provided in the CEO Employment Agreement. The Company issued the August 2023 RSUs pursuant to the exemption from registration provided by Section 4(a)(2) of the Securities Act as a transaction by an issuer not involving any public offering.</w:t>
      </w:r>
    </w:p>
    <w:p>
      <w:pPr>
        <w:pStyle w:val="TextBody"/>
        <w:bidi w:val="0"/>
        <w:spacing w:lineRule="auto" w:line="288" w:before="0" w:after="180"/>
        <w:jc w:val="both"/>
        <w:rPr>
          <w:rFonts w:ascii="Times New Roman;sans-serif" w:hAnsi="Times New Roman;sans-serif"/>
          <w:b/>
          <w:color w:val="000000"/>
          <w:sz w:val="20"/>
          <w:u w:val="single"/>
        </w:rPr>
      </w:pPr>
      <w:r>
        <w:rPr>
          <w:rFonts w:ascii="Times New Roman;sans-serif" w:hAnsi="Times New Roman;sans-serif"/>
          <w:b/>
          <w:color w:val="000000"/>
          <w:sz w:val="20"/>
          <w:u w:val="single"/>
        </w:rPr>
        <w:t>Securities Trading Plans of Directors and Executive Officers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2023, none of our executive officers or directors adopted or terminated any contract, instruction, or written plan for the purchase or sale of our securities that was intended to satisfy the affirmative defense conditions of Rule 10b5-1(c) or any “non-Rule 10b5-1 trading arrangement” as defined in Item 408(c)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6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(a) EXHIBIT INDEX</w:t>
      </w:r>
    </w:p>
    <w:tbl>
      <w:tblPr>
        <w:tblW w:w="10205" w:type="dxa"/>
        <w:jc w:val="center"/>
        <w:tblInd w:w="0" w:type="dxa"/>
        <w:tblLayout w:type="fixed"/>
        <w:tblCellMar>
          <w:top w:w="28" w:type="dxa"/>
          <w:left w:w="28" w:type="dxa"/>
          <w:bottom w:w="28" w:type="dxa"/>
          <w:right w:w="28" w:type="dxa"/>
        </w:tblCellMar>
      </w:tblPr>
      <w:tblGrid>
        <w:gridCol w:w="270"/>
        <w:gridCol w:w="236"/>
        <w:gridCol w:w="239"/>
        <w:gridCol w:w="109"/>
        <w:gridCol w:w="109"/>
        <w:gridCol w:w="109"/>
        <w:gridCol w:w="1802"/>
        <w:gridCol w:w="1622"/>
        <w:gridCol w:w="1630"/>
        <w:gridCol w:w="109"/>
        <w:gridCol w:w="109"/>
        <w:gridCol w:w="109"/>
        <w:gridCol w:w="170"/>
        <w:gridCol w:w="170"/>
        <w:gridCol w:w="171"/>
        <w:gridCol w:w="109"/>
        <w:gridCol w:w="109"/>
        <w:gridCol w:w="109"/>
        <w:gridCol w:w="257"/>
        <w:gridCol w:w="257"/>
        <w:gridCol w:w="241"/>
        <w:gridCol w:w="109"/>
        <w:gridCol w:w="109"/>
        <w:gridCol w:w="109"/>
        <w:gridCol w:w="210"/>
        <w:gridCol w:w="210"/>
        <w:gridCol w:w="211"/>
        <w:gridCol w:w="109"/>
        <w:gridCol w:w="109"/>
        <w:gridCol w:w="109"/>
        <w:gridCol w:w="290"/>
        <w:gridCol w:w="240"/>
        <w:gridCol w:w="344"/>
      </w:tblGrid>
      <w:tr>
        <w:trPr/>
        <w:tc>
          <w:tcPr>
            <w:tcW w:w="27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Incorporated by Reference</w:t>
            </w:r>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Filing Date</w:t>
            </w:r>
          </w:p>
        </w:tc>
      </w:tr>
      <w:tr>
        <w:trPr/>
        <w:tc>
          <w:tcPr>
            <w:tcW w:w="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7"/>
                  <w:u w:val="single"/>
                </w:rPr>
                <w:t>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April 23, 2021</w:t>
            </w:r>
          </w:p>
        </w:tc>
      </w:tr>
      <w:tr>
        <w:trPr/>
        <w:tc>
          <w:tcPr>
            <w:tcW w:w="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7"/>
                  <w:u w:val="single"/>
                </w:rPr>
                <w:t>Bylaws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April 23, 2021</w:t>
            </w:r>
          </w:p>
        </w:tc>
      </w:tr>
      <w:tr>
        <w:trPr/>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7"/>
                  <w:u w:val="single"/>
                </w:rPr>
                <w:t xml:space="preserve">Specimen Stock Certificate evidencing the shares of common stock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April 15, 2021</w:t>
            </w:r>
          </w:p>
        </w:tc>
      </w:tr>
      <w:tr>
        <w:trPr/>
        <w:tc>
          <w:tcPr>
            <w:tcW w:w="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17"/>
                  <w:u w:val="single"/>
                </w:rPr>
                <w:t>Form of Registration Rights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April 23, 2021</w:t>
            </w:r>
          </w:p>
        </w:tc>
      </w:tr>
      <w:tr>
        <w:trPr/>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17"/>
                  <w:u w:val="single"/>
                </w:rPr>
                <w:t>Form of Warrant Agreement between Ascend Wellness Holdings, Inc. and each of the several lenders, dated June 30,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August 15, 2022</w:t>
            </w:r>
          </w:p>
        </w:tc>
      </w:tr>
      <w:tr>
        <w:trPr/>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17"/>
                  <w:u w:val="single"/>
                </w:rPr>
                <w:t>Amendment to the Ascend Wellness Holdings, Inc. 2021 Stock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May 9, 2023</w:t>
            </w:r>
          </w:p>
        </w:tc>
      </w:tr>
      <w:tr>
        <w:trPr/>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17"/>
                  <w:u w:val="single"/>
                </w:rPr>
                <w:t>Employment Agreement between Ascend Wellness Holdings, Inc. and John Hartmann, dated May 9,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May 9, 2023</w:t>
            </w:r>
          </w:p>
        </w:tc>
      </w:tr>
      <w:tr>
        <w:trPr/>
        <w:tc>
          <w:tcPr>
            <w:tcW w:w="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17"/>
                  <w:u w:val="single"/>
                </w:rPr>
                <w:t>Amendment No. 1 to the Amended and Restated Employment Agreement between Ascend Wellness Holdings, Inc. and Francis Perullo, dated May 9,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May 9, 2023</w:t>
            </w:r>
          </w:p>
        </w:tc>
      </w:tr>
      <w:tr>
        <w:trPr/>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06302023.htm">
              <w:r>
                <w:rPr>
                  <w:rStyle w:val="InternetLink"/>
                  <w:rFonts w:ascii="Times New Roman;sans-serif" w:hAnsi="Times New Roman;sans-serif"/>
                  <w:b w:val="false"/>
                  <w:color w:val="0000FF"/>
                  <w:sz w:val="17"/>
                  <w:u w:val="single"/>
                </w:rPr>
                <w:t>Certification of Periodic Report by Principal Executive Officer under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2-06302023.htm">
              <w:r>
                <w:rPr>
                  <w:rStyle w:val="InternetLink"/>
                  <w:rFonts w:ascii="Times New Roman;sans-serif" w:hAnsi="Times New Roman;sans-serif"/>
                  <w:b w:val="false"/>
                  <w:color w:val="0000FF"/>
                  <w:sz w:val="17"/>
                  <w:u w:val="single"/>
                </w:rPr>
                <w:t>Certification of Periodic Report by Principal Financial Officer under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06302023.htm">
              <w:r>
                <w:rPr>
                  <w:rStyle w:val="InternetLink"/>
                  <w:rFonts w:ascii="Times New Roman;sans-serif" w:hAnsi="Times New Roman;sans-serif"/>
                  <w:b w:val="false"/>
                  <w:color w:val="0000FF"/>
                  <w:sz w:val="17"/>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Inline XBRL Instance Document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Inline XBRL Taxonomy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Inline XBRL Taxonomy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Inline XBRL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bidi w:val="0"/>
        <w:spacing w:lineRule="auto" w:line="288" w:before="0" w:after="120"/>
        <w:ind w:left="0" w:right="0" w:hanging="360"/>
        <w:jc w:val="both"/>
        <w:rPr>
          <w:color w:val="000000"/>
        </w:rPr>
      </w:pPr>
      <w:r>
        <w:rPr>
          <w:color w:val="000000"/>
        </w:rPr>
        <w:t>†    </w:t>
      </w:r>
      <w:r>
        <w:rPr>
          <w:rFonts w:ascii="Times New Roman;sans-serif" w:hAnsi="Times New Roman;sans-serif"/>
          <w:b w:val="false"/>
          <w:color w:val="000000"/>
          <w:sz w:val="16"/>
        </w:rPr>
        <w:t>Indicates management contract or compensatory plan, contract or arrangement.</w:t>
      </w:r>
    </w:p>
    <w:p>
      <w:pPr>
        <w:pStyle w:val="TextBody"/>
        <w:bidi w:val="0"/>
        <w:spacing w:lineRule="auto" w:line="288" w:before="0" w:after="120"/>
        <w:ind w:left="0" w:right="0" w:hanging="360"/>
        <w:jc w:val="both"/>
        <w:rPr>
          <w:color w:val="000000"/>
        </w:rPr>
      </w:pPr>
      <w:r>
        <w:rPr>
          <w:color w:val="000000"/>
        </w:rPr>
        <w:t>‡    </w:t>
      </w:r>
      <w:r>
        <w:rPr>
          <w:rFonts w:ascii="Times New Roman;sans-serif" w:hAnsi="Times New Roman;sans-serif"/>
          <w:b w:val="false"/>
          <w:color w:val="000000"/>
          <w:sz w:val="16"/>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55</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452"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807"/>
        <w:gridCol w:w="807"/>
        <w:gridCol w:w="1146"/>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Ascend Wellness Holdings, Inc.</w:t>
            </w:r>
          </w:p>
        </w:tc>
      </w:tr>
      <w:tr>
        <w:trPr/>
        <w:tc>
          <w:tcPr>
            <w:tcW w:w="1365"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August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Daniel Neville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Neville</w:t>
              <w:br/>
              <w:t xml:space="preserve">Chief Financial Officer </w:t>
              <w:br/>
              <w:t>(Principal Financial Officer)</w:t>
            </w:r>
          </w:p>
        </w:tc>
      </w:tr>
    </w:tbl>
    <w:tbl>
      <w:tblPr>
        <w:tblW w:w="4302"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763"/>
        <w:gridCol w:w="763"/>
        <w:gridCol w:w="1084"/>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August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Roman Nemchenko</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Roman Nemchenko</w:t>
              <w:br/>
              <w:t xml:space="preserve">Executive Vice President, </w:t>
              <w:br/>
              <w:t>Chief Accounting Officer</w:t>
              <w:br/>
              <w:t>(Principal Accounting Officer)</w:t>
            </w:r>
          </w:p>
        </w:tc>
      </w:tr>
    </w:tbl>
    <w:p>
      <w:pPr>
        <w:pStyle w:val="TextBody"/>
        <w:bidi w:val="0"/>
        <w:spacing w:before="0" w:after="1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SECURITIES EXCHANGE ACT OF 1934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RULE 13a-14(a) OR 15d-14(a)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John Hartmann, certify that: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Ascend Wellness Holdings, Inc.;</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tbl>
      <w:tblPr>
        <w:tblW w:w="4494"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809"/>
        <w:gridCol w:w="809"/>
        <w:gridCol w:w="812"/>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Hartmann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Hartmann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SECURITIES EXCHANGE ACT OF 1934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RULE 13a-14(a) OR 15d-14(a)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Daniel Neville, certify that: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Ascend Wellness Holdings, Inc.;</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tbl>
      <w:tblPr>
        <w:tblW w:w="4434"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789"/>
        <w:gridCol w:w="789"/>
        <w:gridCol w:w="792"/>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Neville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Neville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PURSUANT TO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13a-14(b) OR 15d-14(b) 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Ascend Wellness Holdings, Inc. (the “Company”) for the quarter ended June 30, 2023, as filed with the Securities and Exchange Commission on the date hereof (the “Report”), John Hartmann, Chief Executive Officer of the Company, and Daniel Neville, Chief Financial Officer of the Company, each certifies for the purpose of complying with Rule 13a-14(b) or Rule 15d-14(b) of the Securities Exchange Act of 1934, as amended (the “Exchange Act”), and Section 1350 of Chapter 63 of Title 18 of the United States Code, that: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Exchange Act;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180"/>
        <w:jc w:val="left"/>
        <w:rPr/>
      </w:pPr>
      <w:r>
        <w:rPr/>
      </w:r>
    </w:p>
    <w:p>
      <w:pPr>
        <w:pStyle w:val="TextBody"/>
        <w:bidi w:val="0"/>
        <w:spacing w:before="0" w:after="180"/>
        <w:jc w:val="left"/>
        <w:rPr/>
      </w:pPr>
      <w:r>
        <w:rPr/>
      </w:r>
    </w:p>
    <w:tbl>
      <w:tblPr>
        <w:tblW w:w="4166"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724"/>
        <w:gridCol w:w="724"/>
        <w:gridCol w:w="1026"/>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Hartmann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Hartmann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(Principal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106"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707"/>
        <w:gridCol w:w="707"/>
        <w:gridCol w:w="1000"/>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Neville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Neville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br/>
              <w:t>(Principal Financial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56390/000162828021007411/exhibit34-sx1a2.htm" TargetMode="External"/><Relationship Id="rId4" Type="http://schemas.openxmlformats.org/officeDocument/2006/relationships/hyperlink" Target="https://www.sec.gov/Archives/edgar/data/1756390/000162828021007411/exhibit35-sx1a2.htm" TargetMode="External"/><Relationship Id="rId5" Type="http://schemas.openxmlformats.org/officeDocument/2006/relationships/hyperlink" Target="https://www.sec.gov/Archives/edgar/data/1756390/000162828021006948/exhibit41-sx1a1.htm" TargetMode="External"/><Relationship Id="rId6" Type="http://schemas.openxmlformats.org/officeDocument/2006/relationships/hyperlink" Target="https://www.sec.gov/Archives/edgar/data/1756390/000162828021007411/exhibit42-sx1a2.htm" TargetMode="External"/><Relationship Id="rId7" Type="http://schemas.openxmlformats.org/officeDocument/2006/relationships/hyperlink" Target="https://www.sec.gov/Archives/edgar/data/1756390/000162828022022910/formofwarrantagreement.htm" TargetMode="External"/><Relationship Id="rId8" Type="http://schemas.openxmlformats.org/officeDocument/2006/relationships/hyperlink" Target="https://www.sec.gov/Archives/edgar/data/1756390/000162828023016903/exhibit101-05092023form8k.htm" TargetMode="External"/><Relationship Id="rId9" Type="http://schemas.openxmlformats.org/officeDocument/2006/relationships/hyperlink" Target="https://www.sec.gov/Archives/edgar/data/1756390/000162828023016903/exhibit102-050923form8k.htm" TargetMode="External"/><Relationship Id="rId10" Type="http://schemas.openxmlformats.org/officeDocument/2006/relationships/hyperlink" Target="https://www.sec.gov/Archives/edgar/data/1756390/000162828023016903/exhibit103-050923form8k.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28145</Words>
  <Characters>156186</Characters>
  <CharactersWithSpaces>182842</CharactersWithSpaces>
  <Paragraphs>2578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