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 to______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83-0602006</w:t>
            </w:r>
          </w:p>
        </w:tc>
        <w:tc>
          <w:tcPr>
            <w:tcW w:w="200" w:type="dxa"/>
            <w:vAlign w:val="bottom"/>
          </w:tcPr>
          <w:p>
            <w:pPr>
              <w:spacing w:after="0"/>
              <w:rPr>
                <w:sz w:val="20"/>
                <w:szCs w:val="20"/>
                <w:color w:val="auto"/>
              </w:rPr>
            </w:pPr>
          </w:p>
        </w:tc>
      </w:tr>
      <w:tr>
        <w:trPr>
          <w:trHeight w:val="252"/>
        </w:trPr>
        <w:tc>
          <w:tcPr>
            <w:tcW w:w="220" w:type="dxa"/>
            <w:vAlign w:val="bottom"/>
          </w:tcPr>
          <w:p>
            <w:pPr>
              <w:spacing w:after="0"/>
              <w:rPr>
                <w:sz w:val="21"/>
                <w:szCs w:val="21"/>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2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8"/>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44 Whippany Rd.</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Morristown, NJ 07960</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87"/>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gridSpan w:val="3"/>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5"/>
          </w:tcPr>
          <w:p>
            <w:pPr>
              <w:jc w:val="center"/>
              <w:ind w:right="34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7"/>
          </w:tcPr>
          <w:p>
            <w:pPr>
              <w:jc w:val="center"/>
              <w:ind w:right="262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Trading Symbol(s)</w:t>
            </w:r>
          </w:p>
        </w:tc>
        <w:tc>
          <w:tcPr>
            <w:tcW w:w="4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May 8, 2025, there were 204,376,946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3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voting control exercised by holders of Class B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open new dispensaries and cultivation facilities as anticipated;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restricted access to banking and other financial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U.S. tax provisions related to controlled substances;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(“FDA”)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material acquisitions, dispositions and other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wholesale and retail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outbreaks of pandemic diseases, fear of such outbreaks or economic disturbances due to such outbreaks;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risks, such as the unemployment level, interest rates, and inflation, and challenging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list of factors above is illustrative and by no means exhaustive. Additional information regarding these risks and other risks and uncertainties we face is contained in our Annual Report on Form 10-K for the year ended December 31, 2024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spacing w:after="0" w:line="1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6"/>
                <w:szCs w:val="16"/>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229,376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916,730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864,031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828,630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w:t>
            </w:r>
          </w:p>
        </w:tc>
        <w:tc>
          <w:tcPr>
            <w:tcW w:w="300" w:type="dxa"/>
            <w:vAlign w:val="bottom"/>
            <w:shd w:val="clear" w:color="auto" w:fill="CCEEFF"/>
          </w:tcPr>
          <w:p>
            <w:pPr>
              <w:spacing w:after="0"/>
              <w:rPr>
                <w:sz w:val="14"/>
                <w:szCs w:val="14"/>
                <w:color w:val="auto"/>
              </w:rPr>
            </w:pPr>
          </w:p>
        </w:tc>
        <w:tc>
          <w:tcPr>
            <w:tcW w:w="1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31, 2025 and December 31, 2024</w:t>
            </w:r>
          </w:p>
        </w:tc>
        <w:tc>
          <w:tcPr>
            <w:tcW w:w="300" w:type="dxa"/>
            <w:vAlign w:val="bottom"/>
            <w:shd w:val="clear" w:color="auto" w:fill="CCEEFF"/>
          </w:tcPr>
          <w:p>
            <w:pPr>
              <w:spacing w:after="0"/>
              <w:rPr>
                <w:sz w:val="18"/>
                <w:szCs w:val="18"/>
                <w:color w:val="auto"/>
              </w:rPr>
            </w:pPr>
          </w:p>
        </w:tc>
        <w:tc>
          <w:tcPr>
            <w:tcW w:w="18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205,161 and 204,961 shares</w:t>
            </w:r>
          </w:p>
        </w:tc>
        <w:tc>
          <w:tcPr>
            <w:tcW w:w="3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issued and outstanding at March 31, 2025 and December 31, 2024</w:t>
            </w:r>
          </w:p>
        </w:tc>
        <w:tc>
          <w:tcPr>
            <w:tcW w:w="3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issued and outstanding at</w:t>
            </w:r>
          </w:p>
        </w:tc>
        <w:tc>
          <w:tcPr>
            <w:tcW w:w="300" w:type="dxa"/>
            <w:vAlign w:val="bottom"/>
            <w:shd w:val="clear" w:color="auto" w:fill="CCEEFF"/>
          </w:tcPr>
          <w:p>
            <w:pPr>
              <w:spacing w:after="0"/>
              <w:rPr>
                <w:sz w:val="14"/>
                <w:szCs w:val="14"/>
                <w:color w:val="auto"/>
              </w:rPr>
            </w:pPr>
          </w:p>
        </w:tc>
        <w:tc>
          <w:tcPr>
            <w:tcW w:w="1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31, 2025 and December 31, 2024</w:t>
            </w:r>
          </w:p>
        </w:tc>
        <w:tc>
          <w:tcPr>
            <w:tcW w:w="300" w:type="dxa"/>
            <w:vAlign w:val="bottom"/>
            <w:shd w:val="clear" w:color="auto" w:fill="CCEEFF"/>
          </w:tcPr>
          <w:p>
            <w:pPr>
              <w:spacing w:after="0"/>
              <w:rPr>
                <w:sz w:val="18"/>
                <w:szCs w:val="18"/>
                <w:color w:val="auto"/>
              </w:rPr>
            </w:pPr>
          </w:p>
        </w:tc>
        <w:tc>
          <w:tcPr>
            <w:tcW w:w="18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(400,356)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of Ascend Wellness Holdings, Inc. common stockholders</w:t>
            </w:r>
          </w:p>
        </w:tc>
        <w:tc>
          <w:tcPr>
            <w:tcW w:w="3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916,730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80" w:type="dxa"/>
            <w:vAlign w:val="bottom"/>
          </w:tcPr>
          <w:p>
            <w:pPr>
              <w:spacing w:after="0"/>
              <w:rPr>
                <w:sz w:val="14"/>
                <w:szCs w:val="14"/>
                <w:color w:val="auto"/>
              </w:rPr>
            </w:pPr>
          </w:p>
        </w:tc>
        <w:tc>
          <w:tcPr>
            <w:tcW w:w="130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142,410</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(88,436)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(90,373)</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39,561</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52,037</w:t>
            </w:r>
          </w:p>
        </w:tc>
      </w:tr>
      <w:tr>
        <w:trPr>
          <w:trHeight w:val="194"/>
        </w:trPr>
        <w:tc>
          <w:tcPr>
            <w:tcW w:w="20" w:type="dxa"/>
            <w:vAlign w:val="bottom"/>
          </w:tcPr>
          <w:p>
            <w:pPr>
              <w:spacing w:after="0"/>
              <w:rPr>
                <w:sz w:val="16"/>
                <w:szCs w:val="16"/>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49,462</w:t>
            </w: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r>
      <w:tr>
        <w:trPr>
          <w:trHeight w:val="253"/>
        </w:trPr>
        <w:tc>
          <w:tcPr>
            <w:tcW w:w="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5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(10,713)</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r>
      <w:tr>
        <w:trPr>
          <w:trHeight w:val="207"/>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w:t>
            </w:r>
          </w:p>
        </w:tc>
      </w:tr>
      <w:tr>
        <w:trPr>
          <w:trHeight w:val="183"/>
        </w:trPr>
        <w:tc>
          <w:tcPr>
            <w:tcW w:w="20" w:type="dxa"/>
            <w:vAlign w:val="bottom"/>
          </w:tcPr>
          <w:p>
            <w:pPr>
              <w:spacing w:after="0"/>
              <w:rPr>
                <w:sz w:val="15"/>
                <w:szCs w:val="15"/>
                <w:color w:val="auto"/>
              </w:rPr>
            </w:pPr>
          </w:p>
        </w:tc>
        <w:tc>
          <w:tcPr>
            <w:tcW w:w="7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(19,258)</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(18,163)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 common stockholders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8"/>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basic and diluted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10"/>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1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1"/>
                <w:szCs w:val="11"/>
                <w:color w:val="auto"/>
              </w:rPr>
            </w:pPr>
          </w:p>
        </w:tc>
        <w:tc>
          <w:tcPr>
            <w:tcW w:w="3780" w:type="dxa"/>
            <w:vAlign w:val="bottom"/>
            <w:gridSpan w:val="10"/>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Attributable to Ascend Wellness Holdings, Inc. Common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Taxes withheld under equity-based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compensation plans, net</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gridSpan w:val="10"/>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10"/>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180" w:type="dxa"/>
            <w:vAlign w:val="bottom"/>
            <w:gridSpan w:val="5"/>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1"/>
                <w:szCs w:val="11"/>
                <w:color w:val="auto"/>
              </w:rPr>
            </w:pPr>
          </w:p>
        </w:tc>
        <w:tc>
          <w:tcPr>
            <w:tcW w:w="3780" w:type="dxa"/>
            <w:vAlign w:val="bottom"/>
            <w:gridSpan w:val="10"/>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Attributable to Ascend Wellness Holdings, Inc. Common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equity-based payment rewards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Taxes withheld under equity-based compensation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plans, net</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Recognition of non-controlling interests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134,780</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3"/>
                <w:szCs w:val="13"/>
                <w:color w:val="auto"/>
              </w:rPr>
            </w:pPr>
          </w:p>
        </w:tc>
        <w:tc>
          <w:tcPr>
            <w:tcW w:w="156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(12,364)</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15,796</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8,182</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(7,847)</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r>
      <w:tr>
        <w:trPr>
          <w:trHeight w:val="194"/>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under finance leases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7"/>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r>
      <w:tr>
        <w:trPr>
          <w:trHeight w:val="211"/>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100,034</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72,904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6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80" w:type="dxa"/>
            <w:vAlign w:val="bottom"/>
          </w:tcPr>
          <w:p>
            <w:pPr>
              <w:spacing w:after="0"/>
              <w:rPr>
                <w:sz w:val="14"/>
                <w:szCs w:val="14"/>
                <w:color w:val="auto"/>
              </w:rPr>
            </w:pPr>
          </w:p>
        </w:tc>
        <w:tc>
          <w:tcPr>
            <w:tcW w:w="15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w:t>
            </w:r>
          </w:p>
        </w:tc>
      </w:tr>
      <w:tr>
        <w:trPr>
          <w:trHeight w:val="219"/>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costs incurred but not yet paid</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 recognized upon initial consolidation of variable interest entities</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Morristown, New Jersey.</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88" w:lineRule="exact"/>
        <w:rPr>
          <w:sz w:val="20"/>
          <w:szCs w:val="20"/>
          <w:color w:val="auto"/>
        </w:rPr>
      </w:pPr>
    </w:p>
    <w:p>
      <w:pPr>
        <w:ind w:right="4920" w:firstLine="8"/>
        <w:spacing w:after="0" w:line="44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2024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three months ended March 31, 2025.</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March 31, 2025 and December 31, 2024, as well as a net loss for the three months ended March 31, 2025 and 2024,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in the notes to the consolidated financial statements have been reclassified to conform with our current period presentation. These changes had no impact on our previously reported net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and December 31, 2024, we did not hold significant restricted cash or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and 2024, we had no transfers of assets or liabilities between any of the hierarchy levels.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right-of-use (“ROU”) assets. We estimate the fair value of these assets using primarily unobservable Level 3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March 31, 2025 and 2024, 10,926 and 27,136 shares of common stock equivalents, respectively, were excluded from the calculation of diluted EPS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Financial Accounting Standards Board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enhanced income tax disclosures, including disaggregation in the rate reconciliation table and disaggregation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income taxes paid. The amendments in this update are effective for the Company for the fiscal year ending December 31, 2026 on a prospective or retrospective basis, with early adoption permitted. We are currently evaluating the impact of this update on our disclosures in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2020, the FASB issued ASU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which was further clarified through ASU 2025-01 issued in January 2025.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The provisions of this ASU are required to be applied prospectively; however, they may be applied retrospectively to any comparative periods presented in the consolidated financial statements following the effective date. Early adoption is permitted. We are currently evaluating the impact of this update on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income (loss) that are reflected in the Consolidated Statements of Operations are: interest expense; other expense, net; and income tax expense. Refer to Note 17, “Supplemental Information,” for additional information regarding our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95,205</w:t>
            </w: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Third-party wholesale revenue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liability related to the loyalty program we offer dispensary customers at certain locations was $1,258 and $1,394 at March 31, 2025 and December 31, 2024, respectively, and is included within “Other current liabilities” on the unaudited Condensed Consolidated Balance Sheets. The Company recorded $2,063 and $2,119 in allowance for doubtful accounts as of March 31, 2025 and December 31, 2024, respectively. Write-offs were not significant during the three months ended March 31, 2025 and 2024.</w:t>
      </w:r>
    </w:p>
    <w:p>
      <w:pPr>
        <w:spacing w:after="0" w:line="176" w:lineRule="exact"/>
        <w:rPr>
          <w:sz w:val="20"/>
          <w:szCs w:val="20"/>
          <w:color w:val="auto"/>
        </w:rPr>
      </w:pPr>
    </w:p>
    <w:p>
      <w:pPr>
        <w:ind w:right="9440" w:firstLine="8"/>
        <w:spacing w:after="0" w:line="439"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a consolidated variable interest entity (“VIE”) of the Company (the Illinois Partnership, as defined in Note 8, “Variable Interest Entities”) entered into a definitive agreement to acquire an entity that owns and operates an adult-use dispensary (“Illinois Partnership Dispensary Two”), which agreement is subject to regulatory approval. The parties also entered into a management services agreement (“MSA”) pursuant to which the Illinois Partnership will provide certain management and advisory services for a set fee. This MSA became effective in March 2025, following regulatory approval, and will remain in place until the definitive agreement is approved and the underlying transaction closes. Based on the provisions of this MSA, the Illinois Partnership obtained operational and financial influence over the Illinois Partnership Dispensary Two and therefore recognized the transaction as a business combination as of the March 2025 regulatory approval date of this MSA. Refer to Note 8, “Variable Interest Entities,” for additional information regarding the Company’s VIEs.</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cash consideration for this transaction is $1,667, of which $833 was payable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The initial fair-value estimate of $1,600 for this earn-out was determined utilizing an income approach based on a probability-weighted estimate of the future payment discounted using the Company’s estimated incremental borrowing rate and is classified within Level 3 of the fair value hierarchy and is included within “Other non-current liabilities” on the unaudited Condensed Consolidated Balance Sheet as of March 31, 2025.</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which remains preliminary as management refines certain estimates during the measurement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20" w:type="dxa"/>
            <w:vAlign w:val="bottom"/>
          </w:tcPr>
          <w:p>
            <w:pPr>
              <w:spacing w:after="0"/>
              <w:rPr>
                <w:sz w:val="19"/>
                <w:szCs w:val="19"/>
                <w:color w:val="auto"/>
              </w:rPr>
            </w:pPr>
          </w:p>
        </w:tc>
        <w:tc>
          <w:tcPr>
            <w:tcW w:w="9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the acquired license is 10 years.</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Internal Revenue Code (“IRC”) Section 280E; see Note 14, “Income Taxes,” for additional information.</w:t>
      </w:r>
    </w:p>
    <w:p>
      <w:pPr>
        <w:spacing w:after="0" w:line="88"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Of the total cash consideration, $833 was paid in March 2025 following the approval of the MSA and the remainder is included as a sellers’ note; refer to Note 11,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Illinois Partnership has also agreed to assume the lease for the associated location and recognized a total finance lease liability and ROU asset of $767 as of the effective date; refer to Note 10, “Leases,” for additional information regarding the Company’s leases. Direct transaction costs were not material.</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consolidated results of operations for the three months ended March 31, 2025 include $75 of net revenue and $12 of net loss related to this dispensary. Pro forma financial information is not presented, as such results are immaterial to both the current and prior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April 2024, the Illinois Partnership acquired two dispensaries in the greater Chicago, Illinois area (the “Chicago Partner Dispensaries”). The parties entered into interim MSAs pursuant to which the Illinois Partnership will advise on certain business, operational, and financial matters for a monthly fee while the parties finalize asset purchase agreements to acquire the underlying dispensaries (the “Chicago MSAs”). The total purchase price of approximately $10,000 of cash consideration is subject to certain closing adjustments. An initial deposit of $1,500 was remitted during the three months ended March 31, 2024. The remainder of $8,500 was remitted to escrow during the three months ended June 30, 2024 and remained in escrow as of March 31, 2025. The asset purchase agreements in respect of the Chicago Partner Dispensaries are subject to regulatory review and approval. Based on the provisions of the Chicago MSAs, the third party obtained operational and financial influence over the dispensaries and therefore recognized the transaction as a business combination as of the April 2024 regulatory approval date of the Chicago MSAs. Refer to Note 8, “Variable Interest Entities,” for additional information regarding the Company’s VIEs.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of the Chicago Partner Dispensaries. Management does not expect significant adjustments through the end of the measurement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29"/>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 of $1,398 and furniture, fixtures, and equipment of $127.</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the three months ended March 31, 2025, certain estimates related to the fair value of the acquired licenses were refined, resulting in a measurement period purchase accounting adjustment that reduced the value by $940, with a related impact to goodwill.</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spacing w:after="0" w:line="15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consolidated results of operations for the three months ended March 31, 2025 include $3,145 of net revenue and $641 of net loss related to the Chicago Partner Dispensaries. Pro forma financial information is not presented, as such results are immaterial to both the current and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Asset Acquisitions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the Illinois Partnership entered into a definitive agreement to acquire the membership interests of an entity that anticipates receiving two adult-use licenses in Illinois, which agreement is subject to regulatory approval. In conjunction with this definitive agreement, the parties entered into certain management services agreements under which the Illinois Partnership will provide certain management and advisory services for a set fee. These management services agreements were subject to regulatory review and approval, which was received in February 2025. Based on the provisions of the agreements, the Illinois Partnership obtained operational and financial influence over the underlying entity and therefore recognized the transaction as an asset acquisition as of the March 2025 regulatory approval date of these MSAs. Total cash consideration for this transaction may be up to $4,000, subject to certain closing adjustments, and was allocated to the licenses acquired as of the effective date. Of the total consideration, $1,000 was paid at signing in December 2024 and is included within “Other non-current assets” on the unaudited Condensed Consolidated Balance Sheet as of December 31, 2024. A total of up to $1,500 is expected to be paid upon opening of the associated dispensary locations and a total of up to $1,500 is expected be paid upon final closing of the associated transaction. The total of these payments is included as a sellers’ note; refer to Note 11, “Debt.” Additionally, the Company recorded an acquisition-related deferred tax liability of $1,755, which was allocated to the license as additional cost basis as of the effective date. Refer to Note 8, “Variable Interest Entities,” for additional information regarding the Company’s VIEs, including the Illinois Partnership.</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the Illinois Partnership entered into a definitive agreement to acquire a conditional adult-use license in Illinois, which agreement is subject to regulatory approval. Total cash consideration for this transaction is $1,900, which is due at final closing and is subject to certain closing adjustments. In conjunction with this definitive agreement, the parties entered into certain MSAs under which the Illinois Partnership will provide certain management and advisory services for a set fee. The parties also entered into a working capital loan and security agreement, under which the Illinois Partnership may loan up to $3,650 for the build-out of the associated dispensary, which loan has a five year maturity, if not otherwise settled, bears interest at a rate of 12.5% per annum, and provides for a default interest penalty of an additional 6.0% and a repayment fee of 10.0%. Based on the provisions of the MSAs and working capital loan, the Illinois Partnership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The associated dispensary opened in May 2025 and the Company anticipates that closing of the the transaction may occur by the end of 2025. Refer to Note 8, “Variable Interest Entities,” for additional information regarding the Company’s VIEs, including the Illinois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Purchase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of which $1,500 was paid at signing and $1,250 was paid on October 1, 2024. The transfer of each license was subject to regulatory review and approval, which occurred in April 2025, and upon which the final closing of the transaction occurred. The licenses were not associated with active operations at signing, but certain operations commenced during 2024. In conjunction with the Massachusetts Purchase Agreement, the parties also entered into a bridge loan which provided for the financing of certain covered expenses, at the sole discretion of the Company, and which balance outstanding thereunder was forgiven at final closing. The parties also entered into an interim consulting services agreement, that was effective as of the signing date through the final closing date. The Company accounted for this transaction as an asset acquisition as of the signing date based on the provisions of the underlying agreements and allocated the cash consideration as the cost of the license acquired. The Company also assumed the lease for the associated location and reimbursed the seller for the security deposit at final closing. The Company recognized a lease liability and ROU asset of $761 as of the signing date; refer to Note 10, “Leases,” for additional information regarding the Company’s leases. Direct transaction costs were not material.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Detroit License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transferred the Detroit License to its dispensary in Detroit, Michigan, which re-opened in February 2025. The Company paid $850 of cash consideration at closing and the sellers may receive up to an additional $2,250 based upon the achievement of certain levels of sales during a specified twelve-month period following the commencement of adult-use sales at the dispensary, which sales commenced in February 2025.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VIE and the Company became the primary beneficiary as of the closing date; therefore, the Detroit License Holder is consolidated as a VIE. Management applied the acquisition method discussed above and allocated the total estimated fair value of the transaction consideration of $1,140 as the estimated fair value of the license. This total consisted of the fair value of the cash consideration of $850 plus the initial estimated fair value of the contingent consideration of $290, which was determined utilizing an income approach based on a probability-weighted estimate of the future payment discounted using the Company’s estimated incremental borrowing rate and is classified within Level 3 of the fair value hierarchy. The estimated fair value of the contingent consideration was $310 and $300 as of March 31, 2025 and December 31, 2024, respectively, which amounts are included within “Other non-current liabilities” on the unaudited Condensed Consolidated Balance Sheets as of each date. During the three months ended March 31, 2025, the Company recorded an acquisition-related deferred tax liability of $500, which was allocated to the license as additional cost basis.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Patient Access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regulatory approval is received, the Company may exercise the option, and the exercise is solely within the Company’s control. As initially provided by the Ohio Agreement, the Company had the right to exercise the option until the fifth anniversary of the agreement date, but was subsequently amended in June 2024 so that such option will expire on March 22, 2026. The Company anticipates exercising the option prior to the amended expiration date.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Ohio Agreement, the parties also entered into a support services agreement under which the Company is providing management and advisory services to OPA for a set monthly fee. The parties also entered into a working capital loan agreement under which the Company may, at its full discretion, loan OPA up to $10,000 for general working capital needs. Under the Ohio Agreement, the Company will also acquire the real property of the three dispensary locations. OPA had not yet commenced operations as of the signing date, but subsequently opened two dispensaries in December 2023 and a third in January 2024. The Company determined OPA is a VIE and the Company became the primary beneficiary as of the signing date; therefore, OPA is consolidated as a VIE. To account for the initial consolidation of OPA, management applied the acquisition method discussed above.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the Ohio Agreement consisted of total cash consideration of $22,300. The Ohio Agreement also includes an earn-out provision of $7,300 that is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The parties amended the Ohio Agreement in June 2024 to incorporate certain provisions regarding evolving regulations in Ohio, including that the Company will, upon final closing of the Ohio Agreement, receive two additional adult-use licenses that are expected to be awarded to OPA.</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total estimated fair value of the transaction consideration was determined to be $24,132 and consisted of the fair value of the cash consideration of $19,290 plus the initial estimated fair value of the contingent consideration of $4,842, which was determined utilizing an income approach based on a probability-weighted estimate of the future payment discounted using the Company’s estimated incremental borrowing rate and was classified within Level 3 of the fair value hierarchy. Of the total cash consideration, $11,300 was funded at signing pursuant to note agreements and $11,000 is due at final closing (the “OPA Sellers’ Note”);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inventory are as follows: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compensation expense capitalized to inventory was $17,492 and $20,344 during the three months ended March 31, 2025 and 2024, respectively. At March 31, 2025 and December 31, 2024, $12,921 and $14,152, respectively, of compensation expense remained capitalized as part of inventory. The Company recognized, as a component of cost of goods sold, total write-downs related to net realizable value adjustments, expired products, and obsolete packaging totaling $1,774 and $474 during the three months ended March 31, 2025 and 2024, respectively, which amounts are included within “Other” on the unaudited Condensed Consolidated Statements of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Note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2022 the Company issued a secured promissory note to a retail dispensary license holder in Massachusetts providing up to $3,500 of funding, which note was amended in December 2023 (the “Massachusetts Note”). As amended, the Massachusetts Note bears interest at a rate of 12.5% per annum, which is to be paid monthly beginning in January 2024, and principal is to be repaid monthly commencing in December 2024 based on a period of twenty-four months, with the remainder due at the December 1, 2025 revised maturity date. In April 2024, the Massachusetts Note was further amended to increase the principal to $4,100 and the additional payment was funded at that time. As of March 31, 2025 and December 31, 2024, $4,100 is outstanding under the Massachusetts Note, which is included in “Notes receivable” on the unaudited Condensed Consolidated Balance Sheets, and interest receivable totaling $404 and $266, respectively, is included within “Other current assets.”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 In February 2025, the borrower entered into a purchase and sale agreement to be acquired by a third-party entity, which transaction is pending regulatory approval. The balance outstanding under the Massachusetts Note is expected to be settled as part of this transaction.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Activity</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2024, in conjunction with the settlement of a previously outstanding note receivable, the Company entered into a supply agreement that provides for the Company to receive $6,000 of inventory products, based on market prices, over the course of three years, with a maximum of $500 per quarter. The Company recorded this receivable net of an initial discount of $984 that is included within “General and administrative expenses” on the unaudited Condensed Consolidated Statements of Operations for the three months ended March 31, 2024 and within “Other” on the unaudited Condensed Consolidated Statements of Cash Flows. This discount was calculated utilizing the Company’s estimated incremental borrowing rate as of the agreement date and will be accreted to interest income over the agreement term. A total of $254 of inventory was supplied under this agreement during the three months ended March 31, 2025. Of the remaining receivable outstanding as of March 31, 2025 and December 31, 2024, $1,000 is included within “Other current assets” as of each date and $860 and $1,084, respectively, is included within “Other noncurrent assets” on the unaudited Condensed Consolidated Balance Sheets. These amounts are net of reserves established in 2024 for collection risk, of which $1,000 is included in “Other current assets” and $1,083 is included within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total of $3,804 was outstanding at March 31, 2025 related to a promissory note issued to the owner of a property that the Company is leasing, of which $178 and $3,626 is included in “Other current assets” and “Other noncurrent assets,” respectively, on the unaudited Condensed Consolidated Balance Sheets. At December 31, 2024, a total of $3,848 was outstanding, of which $177 and $3,671 is included in “Other current assets” and “Other noncurrent assets,” respectively, on the unaudited Condensed Consolidated Balance Sheets.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impairment losses on notes receivable were recognized during the three months ended March 31, 2025 or 2024, other than as described above or in Note 15, “Commitments and Contingencies.”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202,548</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78,775</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377,372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260,461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expense was $9,860 and $9,145 during the three months ended March 31, 2025 and 2024, respectively, and total depreciation expense capitalized to inventory was $7,019 and $6,563, respectively. At March 31, 2025 and December 31, 2024, $1,742 and $3,174, respectively, of depreciation expense remained capitalized as part of inventory. Disposals and write offs of accumulated depreciation during the three months ended March 31, 2025 were not material.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table above includes the following amounts related to finance leases: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Equipment</w:t>
            </w:r>
            <w:r>
              <w:rPr>
                <w:rFonts w:ascii="Times New Roman" w:cs="Times New Roman" w:eastAsia="Times New Roman" w:hAnsi="Times New Roman"/>
                <w:sz w:val="23"/>
                <w:szCs w:val="23"/>
                <w:color w:val="auto"/>
                <w:vertAlign w:val="superscript"/>
              </w:rPr>
              <w:t>(1)(2)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Vehicles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Less: accumulated amortization</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“Furniture, fixtures, and equipment.”</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Equipment leased pursuant to a master lease agreement that was entered into in June 2022 and, as amended, allows for an aggregate of up to $3,000 of such leases to be entered during the current annual renewal period.</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“Accumulated depreciation.”</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10, “Leases,” for additional information regarding our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assesses the terms of various agreements and contractual relationships to determine if it is the primary beneficiary, generally due to provisions that provide the Company with operational and financial influence over the underlying entity, as well as financial distributions based on the underlying associated results of operations. Such transactions may include support services agreements, management services agreements, loan or financing agreements, or various other contractual agreements. We assess all variable interests in the entity and use our judgment when determining if we are the primary beneficiary. In addition to contractual agreements with the VIE, other qualitative factors that are considered include decision-making responsibilities, the VIE capital structure, risk and rewards sharing, voting rights, and the level of involvement of other parties. We assess the primary beneficiary determination for a VIE on an ongoing basis if there are any changes in the facts and circumstances related to a VIE.</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applicable,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2024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(the “January 2024 Loan Agreement”) to a third party (“New Jersey Partnership One”).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January 2024 Loan Agreement also contains certain provisions and restrictive covenants that provide the Company with operational and financial influence over New Jersey Partnership One and also provides the Company with financial distributions based on the underlying associated results of operations. The Company determined it has a variable interest in New Jersey Partnership One and that it is the primary beneficiary, and, therefore, New Jersey Partnership One met the criteria for consolidation as of such date. The underlying entity received a conditional license approval for one dispensary in New Jersey that was determined to have a fair value of $1,050, which approximated the fair value of the non-controlling interest held by the third-party member as of the effective date. The non-controlling interest received a distribution during 2024 in accordance with the provisions of the January 2024 Loan Agreement. The associated dispensary is expected to open during the second quarter of 2025. Since the entity is consolidated as a VIE, the intercompany activity related to the January 2024 Loan Agreement is eliminated in consolidation. The net loss attributable to the non-controlling interest was not significant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2024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the Company entered into a loan agreement pursuant to which the Company may provide financing (the “February 2024 Loan Agreement”), as amended, at its sole discretion, to a third party (the “Illinois Partnership”). The parties also entered into a support services agreement under which the Company will provide management and advisory services to the Illinois Partnership for a set monthly fee. 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 The February 2024 Loan Agreement provides the Company with the option to convert the outstanding balance into equity interests of the borrower, up to 100%, as may be permissible by applicable regulations at such time.</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February 2024 Loan Agreement contains certain provisions and restrictive covenants that provide the Company with operational and financial influence over the Illinois Partnership. The Company determined that the terms and provisions of the February 2024 Loan Agreement and support services agreement create a variable interest in the Illinois Partnership and met the criteria for consolidation as of such date. Since the Illinois Partnership is consolidated as a VIE, the intercompany activity related to the February 2024 Loan Agreement and the related support services agreement is eliminated in consolidation. The Illinois Partnership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fair value as of that date. The net loss attributable to the non-controlling interest was not significant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4, “Acquisitions,” for information regarding certain transactions that are consolidated as of March 31, 2025.</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2025, the Illinois Partnership entered into a definitive agreement to acquire an entity that owns and operates an adult-use dispensary (“Illinois Partnership Dispensary Three”), which agreement is subject to regulatory approval. The parties also entered into a MSA under which the Illinois Partnership will, subject to regulatory approval, provide management and advisory services for a set fee. This MSA became effective in May 2025, following regulatory approval, and will remain in place until the definitive agreement is approved and the underlying transaction closes. Total cash consideration for this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NJ Loan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2025, the Company entered into a loan agreement pursuant to which the Company may provide up to $2,500 of financing (the “February 2025 NJ Loan Agreement”) to a third party (“New Jersey Partnership Two”). Borrowings under the February 2025 NJ Loan Agreement bear interest at a rate of 20% per annum and are secured by substantially all of the then-current and future assets and equity interests of the borrower. The February 2025 NJ Loan Agreement provides for customary events of default, contains certain covenants and other restrictions, and provides for a default penalty of an additional 6% interest. Borrowings are due on the tenth anniversary of the February 2025 NJ Loan Agreement. The Company has a direct equity ownership interest of 35% of the equity interests in the borrower and the February 2025 NJ Loan Agreement provides the Company with conversion options to obtain up to 100% at any time through the maturity date, subject to certain provisions and as may be permitted by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February 2025 NJ Loan Agreement also contains certain provisions and restrictive covenants that provide the Company with operational and financial influence over New Jersey Partnership Two and provides the Company with financial distributions based on the associated results of operations. The Company determined that the terms and provisions of the February 2025 NJ Loan Agreement create a variable interest in New Jersey Partnership Two and met the criteria for consolidation as of such date. The Company and New Jersey Partnership Two entered into a definitive agreement to acquire an entity that received licensing approvals for the operation of an adult-use dispensary for a total of $650 of cash consideration. This agreement is subject to regulatory approval, which is expected to be received within six to twelve months following the signing date. The consideration was allocated to the cost of the license, of which $250 was paid at signing. The remaining $400 is due at the earlier of: (i) the first sale of cannabis at the associated dispensary, or (ii) the one year anniversary of the agreement date, and is included as a sellers’ note;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and the net loss attributable to the non-controlling interest was not significant during the three months ended March 31, 2025. Since the entity is consolidated as a VIE, the intercompany activity related to the February 2025 NJ Loan Agreement is eliminated in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Loan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2025, pursuant to a loan agreement (the “February 2025 Loan Agreement”) through which the Company may provide funding to a third party, at its sole discretion, this third party entered into a definitive agreement through which it anticipates acquiring two adult-use dispensaries, subject to certain closing conditions, including regulatory approval which had not been received as of March 31, 2025. Total cash consideration for this transaction is $7,850, subject to certain closing adjustments, including the settlement of a note outstanding, and of which $250 was paid at signing. This transaction also provides for an earn-out payment, payable in cash, in an amount equal to the lesser of $2,000 or three times the Annual EBITDA (as defined) during the one-year period following closing. The February 2025 Loan Agreement provides the Company with the option to convert the outstanding balance into equity interests of the borrower, up to 100%, as may be permissible by applicable regulations at such time. Borrowings under the February 2025 Loan Agreement bear interest at a rate of 20% per annum and are secured by substantially all of the then-current or future assets of the borrower, as applicable. The February 2025 Loan Agreement matures ten years from issuance, but may be extended if not otherwise converted prior to maturity, with borrowings and interest not due until such time. This third party held no assets at the time the agreements were entered into.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2025 NJ Loan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2025, the Company entered into a loan agreement pursuant to which the Company may provide up to $2,500 of financing (the “March 2025 NJ Loan Agreement”) to a third party (“New Jersey Partnership Three”). Borrowings under the March 2025 NJ Loan Agreement bear interest at a rate of 20% per annum and are secured by substantially all of the then-current and future assets and equity interests of the borrower. The March 2025 NJ Loan Agreement provides for customary events of default, contains certain covenants and other restrictions, and provides for a default penalty of an additional 6% interest. Borrowings are due on the tenth anniversary of the March 2025 NJ Loan Agreement. The Company has a direct equity ownership interest of 35% of the equity interests in the borrower and the March 2025 NJ Loan Agreement and associated agreements provide the Company with conversion options to obtain up to 100% at any time through the maturity date, subject to certain provisions and as may be permitted by applicable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March 2025 NJ Loan Agreement also contains provisions and restrictive covenants that provide the Company with operational and financial influence over New Jersey Partnership Three and the underlying operating agreement provides the Company with financial distributions based on the associated results of operations. The Company determined that the terms and provisions of the March 2025 NJ Loan Agreement and associated agreements create a variable interest in New Jersey Partnership Three and met the criteria for consolidation as of such date. The Company and New Jersey Partnership Three entered into a definitive agreement to acquire an entity that received licensing approvals for the operation of an adult-use dispensary, subject to regulatory approval which is expected to be received within six to twelve months following the signing date, for a total of $1,500 of cash consideration, which was allocated to the license acquired as of the effective date. Of the total consideration, $250 was paid as a deposit during the fourth quarter of 2024 and was included within “Other current assets” on the unaudited Condensed Consolidated Balance Sheet as of December 31, 2024, $250 was paid at signing, and the remaining $1,000 will be paid at final closing and is included as a sellers’ note; refer to Note 11, “Debt.” The Company will also assume the lease associated with the dispensary location. Of the total consideration, $1,383 was allocated to the cost of the license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unaudited Condensed Consolidated Balance Sheets as of March 31, 2025 and December 31, 2024 and in the unaudited Condensed Consolidated Statements of Operations for the three months ended March 31, 2025 and 2024, as applicable. The underlying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and includes the related acquisition details disclosed in Note 4,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63,334</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2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4"/>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INTANGIBLE ASSETS AND GOODWILL</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262,017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277,260</w:t>
            </w:r>
          </w:p>
        </w:tc>
      </w:tr>
      <w:tr>
        <w:trPr>
          <w:trHeight w:val="209"/>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(60,203)</w:t>
            </w: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(71,758)</w:t>
            </w:r>
          </w:p>
        </w:tc>
      </w:tr>
      <w:tr>
        <w:trPr>
          <w:trHeight w:val="236"/>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205,502</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related to intangible assets was $6,614 and $6,890 during the three </w:t>
      </w:r>
      <w:r>
        <w:rPr>
          <w:rFonts w:ascii="Times New Roman" w:cs="Times New Roman" w:eastAsia="Times New Roman" w:hAnsi="Times New Roman"/>
          <w:sz w:val="18"/>
          <w:szCs w:val="18"/>
          <w:color w:val="070707"/>
        </w:rPr>
        <w:t>months ended March 31, 2025 and 2024, respectively,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and </w:t>
      </w:r>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070707"/>
        </w:rPr>
        <w:t xml:space="preserve">otal amortization expense capitalized to inventory was $755 and $754, respectively. </w:t>
      </w:r>
      <w:r>
        <w:rPr>
          <w:rFonts w:ascii="Times New Roman" w:cs="Times New Roman" w:eastAsia="Times New Roman" w:hAnsi="Times New Roman"/>
          <w:sz w:val="18"/>
          <w:szCs w:val="18"/>
          <w:color w:val="000000"/>
        </w:rPr>
        <w:t>At March 31, 2025 and December 31, 2024, $500 and $994,</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respectively, of amortization expense remained capitalized as part of inventory.</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70707"/>
        </w:rPr>
        <w:t xml:space="preserve">No impairment indicators were noted 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070707"/>
        </w:rPr>
        <w:t xml:space="preserve"> months ended March 31, 2025 or 2024 and, as such, w</w:t>
      </w:r>
      <w:r>
        <w:rPr>
          <w:rFonts w:ascii="Times New Roman" w:cs="Times New Roman" w:eastAsia="Times New Roman" w:hAnsi="Times New Roman"/>
          <w:sz w:val="18"/>
          <w:szCs w:val="18"/>
          <w:color w:val="000000"/>
        </w:rPr>
        <w:t>e did not record any impairment</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charges during either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51,225</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4, “Acquisitions,”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land, buildings, equipment, and other capital assets which it uses for corporate purposes and the production and sale of cannabis products with terms generally ranging from 1 to 20 years.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the unaudited Condensed Consolidated Balance Sheets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00" w:type="dxa"/>
            <w:vAlign w:val="bottom"/>
          </w:tcPr>
          <w:p>
            <w:pPr>
              <w:spacing w:after="0"/>
              <w:rPr>
                <w:sz w:val="19"/>
                <w:szCs w:val="19"/>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139,067</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267,221</w:t>
            </w:r>
          </w:p>
        </w:tc>
      </w:tr>
      <w:tr>
        <w:trPr>
          <w:trHeight w:val="229"/>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unaudited Condensed Consolidated Statements of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8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r>
      <w:tr>
        <w:trPr>
          <w:trHeight w:val="270"/>
        </w:trPr>
        <w:tc>
          <w:tcPr>
            <w:tcW w:w="20" w:type="dxa"/>
            <w:vAlign w:val="bottom"/>
            <w:shd w:val="clear" w:color="auto" w:fill="CCEEFF"/>
          </w:tcPr>
          <w:p>
            <w:pPr>
              <w:spacing w:after="0"/>
              <w:rPr>
                <w:sz w:val="23"/>
                <w:szCs w:val="23"/>
                <w:color w:val="auto"/>
              </w:rPr>
            </w:pPr>
          </w:p>
        </w:tc>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20" w:type="dxa"/>
            <w:vAlign w:val="bottom"/>
          </w:tcPr>
          <w:p>
            <w:pPr>
              <w:spacing w:after="0"/>
              <w:rPr>
                <w:sz w:val="19"/>
                <w:szCs w:val="19"/>
                <w:color w:val="auto"/>
              </w:rPr>
            </w:pPr>
          </w:p>
        </w:tc>
        <w:tc>
          <w:tcPr>
            <w:tcW w:w="7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32"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accompanying unaudited Condensed Consolidated Statements of Operations.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2025 and December 31, 2024, $6,563 and $6,886, respectively, of lease costs remained capitalized in inventory.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on short-term and variable lease costs:</w:t>
      </w:r>
    </w:p>
    <w:p>
      <w:pPr>
        <w:spacing w:after="0" w:line="200"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70"/>
              <w:spacing w:after="0" w:line="17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the three months ended March 31, 2025 and 2024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6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4"/>
                <w:szCs w:val="14"/>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4"/>
                <w:szCs w:val="14"/>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8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20" w:type="dxa"/>
            <w:vAlign w:val="bottom"/>
          </w:tcPr>
          <w:p>
            <w:pPr>
              <w:spacing w:after="0"/>
              <w:rPr>
                <w:sz w:val="19"/>
                <w:szCs w:val="19"/>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20" w:type="dxa"/>
            <w:vAlign w:val="bottom"/>
          </w:tcPr>
          <w:p>
            <w:pPr>
              <w:spacing w:after="0"/>
              <w:rPr>
                <w:sz w:val="24"/>
                <w:szCs w:val="24"/>
                <w:color w:val="auto"/>
              </w:rPr>
            </w:pPr>
          </w:p>
        </w:tc>
        <w:tc>
          <w:tcPr>
            <w:tcW w:w="88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576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4"/>
        </w:trPr>
        <w:tc>
          <w:tcPr>
            <w:tcW w:w="20" w:type="dxa"/>
            <w:vAlign w:val="bottom"/>
          </w:tcPr>
          <w:p>
            <w:pPr>
              <w:spacing w:after="0"/>
              <w:rPr>
                <w:sz w:val="20"/>
                <w:szCs w:val="20"/>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unaudited Condensed Consolidated Balance Sheet as of March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Finance Lease 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 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Remainder of</w:t>
            </w:r>
          </w:p>
        </w:tc>
        <w:tc>
          <w:tcPr>
            <w:tcW w:w="280" w:type="dxa"/>
            <w:vAlign w:val="bottom"/>
          </w:tcPr>
          <w:p>
            <w:pPr>
              <w:spacing w:after="0"/>
              <w:rPr>
                <w:sz w:val="17"/>
                <w:szCs w:val="17"/>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7"/>
                <w:szCs w:val="17"/>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1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payments due under</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0" w:type="dxa"/>
            <w:vAlign w:val="bottom"/>
          </w:tcPr>
          <w:p>
            <w:pPr>
              <w:spacing w:after="0"/>
              <w:rPr>
                <w:sz w:val="1"/>
                <w:szCs w:val="1"/>
                <w:color w:val="auto"/>
              </w:rPr>
            </w:pPr>
          </w:p>
        </w:tc>
      </w:tr>
      <w:tr>
        <w:trPr>
          <w:trHeight w:val="527"/>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2024 Term Notes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Credit Facility</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liabilities</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Agreement</w:t>
            </w:r>
            <w:r>
              <w:rPr>
                <w:rFonts w:ascii="Times New Roman" w:cs="Times New Roman" w:eastAsia="Times New Roman" w:hAnsi="Times New Roman"/>
                <w:sz w:val="23"/>
                <w:szCs w:val="23"/>
                <w:color w:val="auto"/>
                <w:vertAlign w:val="superscript"/>
              </w:rPr>
              <w:t>(6)</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1,964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3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255,121</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3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48"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w:t>
      </w:r>
    </w:p>
    <w:p>
      <w:pPr>
        <w:spacing w:after="0" w:line="81"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January 2025, the Company borrowed an additional $15,000 through the issuance of additional term notes (the “January 2025 Term Notes” and, together with the July 2024 Term Notes, the “2024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are included within “General and administrative expenses” on the unaudited Condensed Consolidated Statements of Operations for the three months ended March 31, 2025. The Company intends to utilize the net proceeds from the January 2025 Term Notes for general corporate purposes, including to fund growth initiatives.</w:t>
      </w:r>
    </w:p>
    <w:p>
      <w:pPr>
        <w:spacing w:after="0" w:line="8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6"/>
          <w:szCs w:val="16"/>
          <w:color w:val="auto"/>
        </w:rPr>
        <w:t>The 2024 Term Notes bear interest at a rate of 12.75% per annum, payable semi-annually in arrears on January 15 and July 15 of each year until the maturity date, commencing on January 15, 2025, unless earlier prepaid in accordance with the terms of the July 2024 Loan Agreement.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w:t>
      </w:r>
    </w:p>
    <w:p>
      <w:pPr>
        <w:spacing w:after="0" w:line="2" w:lineRule="exact"/>
        <w:rPr>
          <w:sz w:val="20"/>
          <w:szCs w:val="20"/>
          <w:color w:val="auto"/>
        </w:rPr>
      </w:pPr>
    </w:p>
    <w:p>
      <w:pPr>
        <w:jc w:val="both"/>
        <w:ind w:left="340" w:hanging="8"/>
        <w:spacing w:after="0" w:line="260" w:lineRule="auto"/>
        <w:tabs>
          <w:tab w:leader="none" w:pos="5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spacing w:after="0" w:line="73"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6"/>
          <w:szCs w:val="16"/>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March 31, 2025. The Company is required to comply with certain other financial covenants in contemplation of certain transactions or events, such as acquisitions and other financing activities, as defined within and provided for under the July 2024 Loan Agreement, as amended.</w:t>
      </w:r>
    </w:p>
    <w:p>
      <w:pPr>
        <w:spacing w:after="0" w:line="75" w:lineRule="exact"/>
        <w:rPr>
          <w:sz w:val="20"/>
          <w:szCs w:val="20"/>
          <w:color w:val="auto"/>
        </w:rPr>
      </w:pPr>
    </w:p>
    <w:p>
      <w:pPr>
        <w:jc w:val="both"/>
        <w:ind w:left="340" w:hanging="332"/>
        <w:spacing w:after="0" w:line="244"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this expansion feature (the “2022 Loans”).</w:t>
      </w:r>
    </w:p>
    <w:p>
      <w:pPr>
        <w:spacing w:after="0" w:line="84"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spacing w:after="0" w:line="62"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color w:val="auto"/>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spacing w:after="0" w:line="63"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w:t>
      </w:r>
    </w:p>
    <w:p>
      <w:pPr>
        <w:spacing w:after="0" w:line="63"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6"/>
          <w:szCs w:val="16"/>
          <w:color w:val="auto"/>
        </w:rPr>
        <w:t>In June 2024, the 2021 Credit Agreement was amended to, among other things, permit the Company to issue new senior secured notes. In July 2024, the Company prepaid $215,000 of borrowings outstanding under the 2021 Credit Facility, primarily utilizing the proceeds from the issuance of the 2024 Term Notes, as discussed above. The remaining $60,000 of borrowings outstanding under the 2021 Credit Facility will remain outstanding based on the original terms of the 2021 Credit Agreement. The Company recognized, as a component of interest expense during the second quarter of 2024, a loss on extinguishment of $5,475,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will remain capitalized and will be deferred over the term of the 2024 Term Notes in accordance with modification treatment. A total of $943 of unamortized deferred financing costs were associated with the portion of the 2021 Credit Facility that was not prepaid and will be amortized through the remaining term of those loans.</w:t>
      </w:r>
    </w:p>
    <w:p>
      <w:pPr>
        <w:spacing w:after="0" w:line="287"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6"/>
          <w:szCs w:val="16"/>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was in compliance with these covenants as of March 31, 2025.</w:t>
      </w:r>
    </w:p>
    <w:p>
      <w:pPr>
        <w:spacing w:after="0" w:line="87"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71" w:lineRule="exact"/>
        <w:rPr>
          <w:sz w:val="20"/>
          <w:szCs w:val="20"/>
          <w:color w:val="auto"/>
        </w:rPr>
      </w:pPr>
    </w:p>
    <w:p>
      <w:pPr>
        <w:jc w:val="both"/>
        <w:ind w:left="340" w:hanging="332"/>
        <w:spacing w:after="0" w:line="248"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Sellers’ notes consist of amounts owed for acquisitions or other purchases. As of March 31, 2025 and December 31, 2024, sellers’ notes includes the OPA Sellers’ Note which had balance of $11,000 included in “Current portion of debt, net” at each date. The OPA Sellers’ Note was initially recorded net of a discount of $3,010 that was calculated utilizing the Company’s estimated incremental borrowing rate based on the anticipated close date that was accreted to interest expense over an expected term. As of March 31, 2025 and December 31, 2024, sellers’ notes also includes the remaining amount payable related to the Massachusetts Purchase Agreement, as further described in Note 4, “Acquisitions.” Additionally, as of March 31, 2025, sellers’ notes includes a total of $5,734 related to acquisitions associated with the Illinois Partnership, as further described in Note 4, “Acquisitions,” and $1,400 related to acquisitions with other partnerships, as further described in Note 8, “Variable Interest Entities,” and are included within Current portion of debt, net as of March 31, 2025.</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liabilities related to failed sale leaseback transactions. See Note 10, “Leases,” for additional information.</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Liabilities related to finance leases. See Note 10, “Leases,” for additional information.</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A total of $1,964 of the ERTC Claim remains outstanding as of March 31, 2025 and December 31, 2024, which receivable is included in “Other current assets” on the unaudited Condensed Consolidated Balance Sheets, and the balance outstanding under the Financing Agreement is included in “Current portion of debt,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following cash payments are payable under sellers’ notes and term notes: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Remainder of 2025</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r>
      <w:tr>
        <w:trPr>
          <w:trHeight w:val="234"/>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r>
    </w:tbl>
    <w:p>
      <w:pPr>
        <w:spacing w:after="0" w:line="153"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78" w:lineRule="exact"/>
        <w:rPr>
          <w:rFonts w:ascii="Times New Roman" w:cs="Times New Roman" w:eastAsia="Times New Roman" w:hAnsi="Times New Roman"/>
          <w:sz w:val="21"/>
          <w:szCs w:val="21"/>
          <w:color w:val="auto"/>
          <w:vertAlign w:val="superscript"/>
        </w:rPr>
      </w:pP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b w:val="1"/>
          <w:bCs w:val="1"/>
          <w:color w:val="auto"/>
        </w:rPr>
        <w:t>Interest Expense</w:t>
      </w:r>
    </w:p>
    <w:p>
      <w:pPr>
        <w:spacing w:after="0" w:line="175"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Interest expense during the three months ended March 31, 2025 and 2024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30"/>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liability related to failed sale leaseback transactions. See Note 10, “Leases,” for additional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205,161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204,961</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205,226</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Company’s board of directors (the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March 31, 2025, a total of 791 shares had been repurchased under the Buyback Program for an aggregate cost, inclusive of fees, of $345. As of March 31, 2025, approximately $1,905 worth of share purchases remains available under the Buyback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during the three months ended March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7"/>
                <w:szCs w:val="17"/>
                <w:color w:val="auto"/>
              </w:rPr>
            </w:pPr>
          </w:p>
        </w:tc>
        <w:tc>
          <w:tcPr>
            <w:tcW w:w="17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6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Remaining Exercise</w:t>
            </w: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140" w:type="dxa"/>
            <w:vAlign w:val="bottom"/>
          </w:tcPr>
          <w:p>
            <w:pPr>
              <w:spacing w:after="0"/>
              <w:rPr>
                <w:sz w:val="16"/>
                <w:szCs w:val="16"/>
                <w:color w:val="auto"/>
              </w:rPr>
            </w:pPr>
          </w:p>
        </w:tc>
        <w:tc>
          <w:tcPr>
            <w:tcW w:w="1700" w:type="dxa"/>
            <w:vAlign w:val="bottom"/>
          </w:tcPr>
          <w:p>
            <w:pPr>
              <w:jc w:val="center"/>
              <w:ind w:right="52"/>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0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6"/>
              </w:rPr>
              <w:t>(in thousands)</w:t>
            </w:r>
            <w:r>
              <w:rPr>
                <w:rFonts w:ascii="Times New Roman" w:cs="Times New Roman" w:eastAsia="Times New Roman" w:hAnsi="Times New Roman"/>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March 31, 2025</w:t>
            </w:r>
            <w:r>
              <w:rPr>
                <w:rFonts w:ascii="Times New Roman" w:cs="Times New Roman" w:eastAsia="Times New Roman" w:hAnsi="Times New Roman"/>
                <w:sz w:val="23"/>
                <w:szCs w:val="23"/>
                <w:color w:val="auto"/>
                <w:vertAlign w:val="superscript"/>
              </w:rPr>
              <w:t>(2)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warrants outstanding as of March 31, 2025 are equity-classified instruments, are subject to customary anti-dilution adjustments, and are stand-alone instruments. The fair value per warrant was calculated at issuance using a Black-Scholes model and ranged from $0.06 to $0.84. Significant assumptions used in the calculations included volatility ranging from 70.0% to 87.5% and risk-free rates ranging from 0.3% to 4.2%. No warrants were exercised during the three months ended March 31, 2025.</w:t>
      </w:r>
    </w:p>
    <w:p>
      <w:pPr>
        <w:spacing w:after="0" w:line="381" w:lineRule="exact"/>
        <w:rPr>
          <w:sz w:val="20"/>
          <w:szCs w:val="20"/>
          <w:color w:val="auto"/>
        </w:rPr>
      </w:pPr>
    </w:p>
    <w:p>
      <w:pPr>
        <w:ind w:right="7220" w:firstLine="8"/>
        <w:spacing w:after="0" w:line="440"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As of March 31, 2025, a total of 9,994 Awards had been granted under the 2020 Plan and, as of March 31, 2025, there are no remaining unvested Awards and no remaining unrecognized compensation cost associated with these Awards. The Awards issued generally vested over two or three years and the estimated fair value of the Awards at issuance was recognized as compensation expense over the related vesting period.</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March 31, 2025, there were 12,867 shares of Class A common stock available for grant for future equity-based compensation awards under the Amended 2021 Plan. Activity related to awards issued under the Amended 2021 Plan is further described below. As of March 31, 2025, no SAR Awards and no RSAs had been granted under the Amended 2021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Life</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2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(years)</w:t>
            </w:r>
          </w:p>
        </w:tc>
        <w:tc>
          <w:tcPr>
            <w:tcW w:w="320" w:type="dxa"/>
            <w:vAlign w:val="bottom"/>
          </w:tcPr>
          <w:p>
            <w:pPr>
              <w:spacing w:after="0"/>
              <w:rPr>
                <w:sz w:val="15"/>
                <w:szCs w:val="15"/>
                <w:color w:val="auto"/>
              </w:rPr>
            </w:pPr>
          </w:p>
        </w:tc>
        <w:tc>
          <w:tcPr>
            <w:tcW w:w="1360" w:type="dxa"/>
            <w:vAlign w:val="bottom"/>
          </w:tcPr>
          <w:p>
            <w:pPr>
              <w:jc w:val="center"/>
              <w:ind w:right="235"/>
              <w:spacing w:after="0" w:line="156"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March 31,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at March 31, 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$202 as of March 31, 2025, which is expected to be recognized over a weighted-average remaining period of 1.6 years.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three months ended March 31,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8"/>
                <w:szCs w:val="18"/>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r>
      <w:tr>
        <w:trPr>
          <w:trHeight w:val="216"/>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March 31,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58"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392 vested shares that were withheld to cover tax obligations and were subsequently cancelled.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the RSUs was $4,120, which is expected to be recognized over a weighted-average remaining period of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the Company’s Board approved an award of 3,000 RSUs pursuant to an employment agreement that were not granted as of March 31, 2025 or as of the date of filing of this Quarterly Report on Form 10-Q. These awards, once granted, will be subject to certain vesting conditions, including the achievement of certain stock price targets and continued service to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$378 and $6,469, respectively, of expense within “General and administrative expenses” and $1,138 and $2,211, respectively, within “Cost of goods sold.” During the three months ended March 31, 2025 and 2024, the Company capitalized $250 and $4,247, respectively, of equity-based compensation expense to inventory and $1,214 and $2,102 remained capitalized in inventory as of March 31, 2025 and December 31,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5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00" w:type="dxa"/>
            <w:vAlign w:val="bottom"/>
          </w:tcPr>
          <w:p>
            <w:pPr>
              <w:spacing w:after="0"/>
              <w:rPr>
                <w:sz w:val="14"/>
                <w:szCs w:val="14"/>
                <w:color w:val="auto"/>
              </w:rPr>
            </w:pPr>
          </w:p>
        </w:tc>
        <w:tc>
          <w:tcPr>
            <w:tcW w:w="138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jc w:val="right"/>
              <w:ind w:right="63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(5,653)</w:t>
            </w: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12,510</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(221.3)%</w:t>
            </w:r>
          </w:p>
        </w:tc>
      </w:tr>
      <w:tr>
        <w:trPr>
          <w:trHeight w:val="256"/>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52,037</w:t>
            </w:r>
          </w:p>
        </w:tc>
      </w:tr>
      <w:tr>
        <w:trPr>
          <w:trHeight w:val="234"/>
        </w:trPr>
        <w:tc>
          <w:tcPr>
            <w:tcW w:w="2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on gross profit</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r>
    </w:tbl>
    <w:p>
      <w:pPr>
        <w:spacing w:after="0" w:line="2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149,407</w:t>
            </w:r>
          </w:p>
        </w:tc>
      </w:tr>
      <w:tr>
        <w:trPr>
          <w:trHeight w:val="230"/>
        </w:trPr>
        <w:tc>
          <w:tcPr>
            <w:tcW w:w="9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34"/>
        </w:trPr>
        <w:tc>
          <w:tcPr>
            <w:tcW w:w="9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3"/>
        </w:trPr>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163,048</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20" w:space="720"/>
            <w:col w:w="2400"/>
          </w:cols>
          <w:pgMar w:left="320" w:top="117" w:right="339" w:bottom="1440" w:gutter="0" w:footer="0" w:header="0"/>
          <w:type w:val="continuous"/>
        </w:sectPr>
      </w:pPr>
    </w:p>
    <w:p>
      <w:pPr>
        <w:spacing w:after="0" w:line="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$24,236 of interest and penalties is accrued for the uncertain tax positions as of March 31, 2025, which includes $4,068 related to the current year and $20,168 for prior years, and a total of $20,168 of interest and penalties is accrued as of December 31, 2024, which includes $14,744 for the year then ended and $5,424 for prior years.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520" w:firstLine="8"/>
        <w:spacing w:after="0" w:line="440"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pursuant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of which none has been funded to date. Of this $10,000, approximately $1,600 and $800 is included within “Accounts payable and accrued liabilities” on the unaudited Condensed Consolidated Balance Sheets at March 31, 2025 and December 31, 2024, respectively, and $8,400 and $9,200, respectively, is included within “Other non-current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March 31, 2025 in all material respects, cannabis regulations continue to evolve and are subject to differing interpretations, and accordingly, the Company may be subject to regulatory fines, penalties, or restrictions in the future.</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March 31, 2025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previously paid, approximately $2,400 of advances pursuant to a working capital loan agreement, and other capital expenditure advances paid to MMNY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 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date of filing of this Form 10-Q, had not occurred.</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of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following the Company’s decision to no longer consummate the contemplated transactions, the Company established an estimated reserve of $3,700 related to the amounts that it has been actively pursuing collecting. During the first quarter of 2024, the Company increased this estimated reserve by $2,703, which is included within “General and administrative expenses” on the unaudited Condensed Consolidated Statements of Operations and within “Other” on the unaudited Condensed Consolidated Statements of Cash Flows for that period. The reserve was further increased by $2,744 during the second quarter of 2024 to reflect all remaining outstanding balances, including amounts due under a working capital advance agreement. Of the total reserve as of each of March 31, 2025 and December 31, 2024, $2,422 is included within “Notes receivable” on the unaudited Condensed Consolidated Balance Sheets, $6,695 is included within “Other current assets,” and the remainder is included within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related party transactions during the three months ended March 31, 2025, other than as disclosed in Note 6, “Notes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59,435</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pursuant to which it proposes to acquire an entity that anticipates obtaining an adult-use license in New Jersey plus $1,000 of cash consideration in exchange for the Company’s Ohio cultivation license and facility and related assets (the “Ohio Cultivation Assets”). Pursuant to this definitive agreement, the Company also proposes to acquire an entity in Ohio that owns and operates a dispensary in Ohio in exchange for a conditional dispensary license that the Company expects to receive, plus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March 31, 2025. The total of the Ohio Cultivation Assets was approximately $9,000 as of March 31, 2025, including $4,200 of intangible assets, net, $3,000 of goodwill, $1,200 of inventory, and $400 of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management discussion and analysis, which we refer to as the “MD&amp;A,” of the financial condition and results of operations of Ascend Wellness Holdings, Inc. (the “Company,” “AWH,” or “Ascend”) is for the three months ended March 31, 2025 and 2024.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2024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under the symbol “AAWH.” We are an emerging growth company under federal securities laws and as such we are able to elect to follow scaled disclosure requirements for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Morristown,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and, as of March 31, 2025,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and through partnership opportunities, expansion of our current facilities, and increased consumer demand. We currently employ approximately 2,200 people.</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March 31, 2025, we produce our consumer packaged goods in seven manufacturing facilities with 257,000 square feet of total canopy. During the three months ended March 31, 2025, we sold approximately 56,000 pounds of wholesale product, on a gross basis, respectively, compared to 46,000 pounds during the three months ended March 31, 2024, respectively. Our product portfolio consists of a range of cannabis product categories including flower, pre-rolls, concentrates, vapes, edibles, and other cannabis-related products. As of March 31, 2025, we have 41 open and operating retail locations, which includes 3 partner locations. Subsequent to quarter end, two additional partner locations were added to our network. We have fully-financed expansion plans to achieve a target of 60 total retail locations, including partner locations, in the medium-term. Our new store opening plans are flexible and will ultimately depend on market conditions, local licensing, construction, and other regulatory permissions. We are also pursuing opportunities to partner with social equity license holders to expand our presence in various states. All of our expansion plans are subject to capital allocations decisions, the evolving regulatory environment, and the general economic environment.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continues to focus on expansion opportunities across the markets in which it operates and remains committed to cost-savings initiatives and improvements in working capital management, as well as focusing on customer engagement. Some of the recent highlights achieved include:</w:t>
      </w:r>
    </w:p>
    <w:p>
      <w:pPr>
        <w:spacing w:after="0" w:line="108"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to provide support to additional partner stores, including one that was added during the quarter, two additional stores that were added subsequent to quarter end, and several that are expected to be added by the end of the year;</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the previous Amesbury, Massachusetts cultivation facility and re-opening the dispensary in Detroit, which has expanded to serve adult-use customers; and</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the quarter with $100,034 of cash and cash equivalents, driven by the generation of positive net cash from operating activities resulting and obtaining $15,000 of additional financing that we expect to utilize for strategic initiatives, as further described in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4, “Acquisitions,” in the Financial Statements for additional information regarding the Company’s acquisition-related activity, including previous transactions that remain pending.</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various contractual agreements, the Company is providing funding and operational support to a consolidated variable interest entity (“VIE”) (the “Illinois Partnership”), which entered into various transactions during the three months ended March 31, 2025, as further described below. Refer to Note 8, “Variable Interest Entities,” in the Financial Statements for additional information regarding the Company’s VIEs, including the Illinois Partnership, and certain other transactions.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Illinois Partnership Activity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the Illinois Partnership entered into a definitive agreement to acquire the membership interests of an entity that anticipates receiving two adult-use licenses in Illinois, which agreement is subject to regulatory approval. In conjunction with this definitive agreement, the parties entered into certain management services agreements (“MSAs”) pursuant to which the Illinois Partnership will provide management and advisory services for a set fee. These MSAs were subject to regulatory review and approval, which was received in February 2025. Based on the provisions of the agreements, the Illinois Partnership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which was allocated to the licenses acquired as of the effective date. Of the total consideration, $1,000 was paid at signing in December 2024 and is included within “Other non-current assets” on the unaudited Condensed Consolidated Balance Sheet in the Financial Statements as of December 31, 2024. A total of up to $1,500 is expected to be paid upon opening of the associated dispensary locations and a total of up to $1,500 is expected be paid upon final closing of the associated transaction. The total of the remaining payments is included as a sellers’ note; refer to Note 11, “Debt” in the Financial Statements. Additionally, the Company recorded an acquisition-related deferred tax liability of $1,755, which was allocated to the license as additional cost basis as of the effective date. Refer to Note 4, “Acquisitions,” and to Note 8, “Variable Interest Entities,” for additional information.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2025, the Illinois Partnership entered into a definitive agreement to acquire a conditional adult-use license in Illinois, which agreement is subject to regulatory approval. Total cash consideration for this transaction is $1,900, which is due at final closing and is subject to certain closing adjustments. In conjunction with this definitive agreement, the parties entered into certain MSAs under which the Illinois Partnership will provide certain management and advisory services for a set fee. The parties also entered into a working capital loan and security agreement, under which the Illinois Partnership may loan up to $3,650 for the build-out of the associated dispensary. Based on the provisions of the MSAs and working capital loan, the Illinois Partnership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in the Financial Statements. The associated dispensary opened in May 2025 and the Company anticipates that closing of the the transaction may occur by the end of 2025. Refer to Note 4, “Acquisitions,” and to Note 8,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March 2025, the Illinois Partnership acquired an entity that owns and operates an adult-use dispensary (“Illinois Partnership Dispensary Two”) and also entered into a related MSA pursuant to which the Illinois Partnership will provide certain management and advisory services for a set fee while the underlying transaction is pending regulatory approval. Based on the provisions of this MSA, the Illinois Partnership obtained operational and financial influence over the Illinois Partnership Dispensary Two and therefore recognized the transaction as a business combination as of the March 2025 regulatory approval date of this MSA. Total cash consideration for this transaction is $1,667, of which $833 was payable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and had an initial fair-value estimate of $1,600. Refer to Note 4, “Acquisitions,” and to Note 8, “Variable Interest Entities,” for additional information.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February 2025 NJ Loan Agreement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2025, the Company entered into a loan agreement pursuant to which the Company may provide up to $2,500 of financing (the “February 2025 NJ Loan Agreement”) to a third party (“New Jersey Partnership Two”). The Company has a direct equity ownership interest of 35% of the equity interests in the borrower and the February 2025 NJ Loan Agreement provides the Company with conversion options to obtain up to 100% at any time through the maturity date, subject to certain provisions and as may be permitted by applicable regulations. The February 2025 NJ Loan Agreement also contains certain provisions and restrictive covenants that provide the Company with operational and financial influence over New Jersey Partnership Two and provides the Company with financial distributions based on the associated results of operations. The Company determined that the terms and provisions of the February 2025 NJ Loan Agreement create a variable interest in New Jersey Partnership Two and met the criteria for consolidation as of such date.</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New Jersey Partnership Two entered into a definitive agreement to acquire an entity that received licensing approvals for the operation of an adult-use dispensary for a total of $650 of cash consideration. This agreement is subject to regulatory approval, which is expected to be received within six to twelve months following the signing date. The consideration was allocated to the cost of the license, of which $250 was paid at signing. The remaining $400 is due at the earlier of: (i) the first sale of cannabis at the associated dispensary, or (ii) the one year anniversary of the agreement date, and is included as a sellers’ note;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and the net loss attributable to the non-controlling interest was not significant during the three months ended March 31, 2025. Since the entity is consolidated as a VIE, the intercompany activity related to the February 2025 NJ Loan Agreement is eliminated in consolidation. Refer to Note 8, “Variable Interest Entities,” in the Financial Statements for additional information.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March 2025 NJ Loan Agreement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2025, the Company entered into a loan agreement pursuant to which the Company may provide up to $2,500 of financing (the “March 2025 NJ Loan Agreement”) to a third party (“New Jersey Partnership Three”). The Company has a direct equity ownership interest of 35% of the equity interests in the borrower and the March 2025 NJ Loan Agreement and associated agreements provide the Company with conversion options to obtain up to 100% at any time through the maturity date, subject to certain provisions and as may be permitted by applicable regulations. The March 2025 NJ Loan Agreement also contains provisions and restrictive covenants that provide the Company with operational and financial influence over New Jersey Partnership Three and the underlying operating agreement provides the Company with financial distributions based on the associated results of operations. The Company determined that the terms and provisions of the March 2025 NJ Loan Agreement and associated agreements create a variable interest in New Jersey Partnership Three and met the criteria for consolidation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New Jersey Partnership Three entered into a definitive agreement to acquire an entity that received licensing approvals for the operation of an adult-use dispensary, subject to regulatory approval which is expected to be received within six months following the signing date, for a total of $1,500 of cash consideration. Of the total consideration, $250 was paid as a deposit during the fourth quarter of 2024 and was included within “Other current assets” on the unaudited Condensed Consolidated Balance Sheet in the Financial Statements as of December 31, 2024, $250 was paid at signing, and the remaining $1,000 will be paid at final closing and is included as a sellers’ note; refer to Note 11, “Debt” in the Financial Statements. The Company will also assume the lease associated with the dispensary location. Of the total consideration, $1,383 was allocated to the cost of the license as of the effective date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Refer to Note 8, “Variable Interest Entities,” in the Financial Statements for additional information.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Pending Transactions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2025, the Illinois Partnership entered into a definitive agreement to acquire an entity that owns and operates an adult-use dispensary (“Illinois Partnership Dispensary Three”), which agreement is subject to regulatory approval. The parties also entered into a MSA under which the Illinois Partnership will, subject to regulatory approval, provide management and advisory services for a set fee. This MSA became effective in May 2025, following regulatory approval, and will remain in place until the definitive agreement is approved and the underlying transaction closes. Total cash consideration for this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2025, pursuant to a loan agreement (the “February 2025 Loan Agreement”) through which the Company may provide funding to a third party, at its sole discretion, this third party entered into a definitive agreement through which it anticipates acquiring two adult-use dispensaries, subject to certain closing conditions, including regulatory approval which had not been received as of March 31, 2025. Total cash consideration for this transaction is $7,850, subject to certain closing adjustments, including the settlement of a note outstanding, and of which $250 was paid at signing. This transaction also provides for an earn-out payment, payable in cash, in an amount equal to the lesser of $2,000 or three times the Annual EBITDA (as defined) during the one-year period following closing. Refer to Note 8, “Variable Interest Entities,” in the Financial Statements for additional information.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$14,413, or 10%, during the three months ended March 31, 2025, as compared to the three months ended March 31, 2024, primarily driven by declines across our legacy business driven by increased competition and pricing pressure in most of our markets, slightly offset by incremental revenue from acquisitions and partnerships.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of $2,486 during the three months ended March 31, 2025, as compared to $2,575 during the three months ended March 31, 2024, primarily resulting from declines in revenue and margin pressure, partially offset by reduced general and administrative expenses largely attributable to certain strategic initiatives implemented during the second half of 2024.</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 in cash and cash equivalents of $11,780 during the three months ended March 31, 2025, primarily driven by net cash received from the issuance of additional term loans and improvements in working capital management, all partially offset by investments in capital assets and payments associated with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7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with the Three Months Ended March 31, 2024</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54"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127,997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5"/>
              </w:rPr>
              <w:t>142,410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7"/>
              </w:rPr>
              <w:t>(88,436)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(90,373)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39,561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52,037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4"/>
        </w:trPr>
        <w:tc>
          <w:tcPr>
            <w:tcW w:w="2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1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30.9 %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36.5 %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37,075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49,462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7"/>
              </w:rPr>
              <w:t>(11,190)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7"/>
              </w:rPr>
              <w:t>(10,713)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(8,228)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(5,653)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7"/>
              </w:rPr>
              <w:t>(11,031)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(12,510)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7"/>
              </w:rPr>
              <w:t>(19,258)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(18,163)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decreased by $14,413 during the three months ended March 31, 2025, as compared to the three months ended March 31, 2024. The decrease was primarily driven by declines across dispensary locations totaling $22,920, primarily driven by softness in Illinois and New Jersey that was partially offset by a benefit from adult-use sales in Ohio which began during the third quarter of 2024. Additionally, the decrease was partially offset by $8,847 of incremental revenue from new store openings that occurred in 2024 associated with previously acquired licenses and a contribution of $3,220 of incremental revenue from partner stores. Additionally, net revenue from our wholesale operations declined by $3,560 resulting from increased competition and price compression across certain markets, particularly in New Jersey and Illinois, partially offset by expansion in Massachusetts. During the three months ended March 31, 2025, we sold approximately 56,000 pounds of wholesale product, on a gross basis, compared to 46,000 pounds during the three months ended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goods sold decreased by $1,937 during the three months ended March 31, 2025, as compared to the three months ended March 31, 2024. Cost of goods sold represents direct and indirect expenses attributable to the production of wholesale products as well as direct expenses incurred in purchasing products from other wholesalers. Gross profit for the three months ended March 31, 2025 was $39,561, representing a gross margin of 30.9%, compared to gross profit of $52,037 and gross margin of 36.5% for the three months ended March 31, 2024. Gross margin for the current quarter was impacted by increased competition and pricing across most of our markets, particularly in New Jersey and Illinois, as well as a shift in mix between retail and wholesale products. The current period also benefited from $1,300 of lower write-downs of certain inventory items that were largely driven by pricing pressure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$12,387, or 25%, during the three months ended March 31, 2025, as compared to the three months ended March 31, 2024. The decrease was primarily driven by:</w:t>
      </w:r>
    </w:p>
    <w:p>
      <w:pPr>
        <w:spacing w:after="0" w:line="108" w:lineRule="exact"/>
        <w:rPr>
          <w:sz w:val="20"/>
          <w:szCs w:val="20"/>
          <w:color w:val="auto"/>
        </w:rPr>
      </w:pPr>
    </w:p>
    <w:p>
      <w:pPr>
        <w:jc w:val="both"/>
        <w:ind w:left="660" w:hanging="328"/>
        <w:spacing w:after="0" w:line="266" w:lineRule="auto"/>
        <w:tabs>
          <w:tab w:leader="none" w:pos="7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$7,950 decrease in compensation expense, including $6,091 of lower equity-based compensation expense that was largely due to the acceleration of certain awards in the prior year and the remainder of which is attributable to a benefit from strategic streamlining initiatives that were implemented in late 2024;</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$2,703 estimated reserve recognized in the prior year related to certain amounts associated with a previous transaction;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$984 discount recognized on a long-term receivable in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increased by $2,652, or 31%, during the three months ended March 31, 2025, as compared to the three months ended March 31, 2024, primarily driven by higher cash interest expense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During the three months ended March 31, 2025, the Company had a weighted-average outstanding debt balance of $346,089 with a weighted-average interest rate of 11.5%, excluding finance leases, compared to a weighted-average debt balance of $315,325 during the three months ended March 31, 2024 with a weighted-average interest rate of 9.5%.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As of March 31, 2025, the Company recorded an uncertain tax liability totaling $163,048 for uncertain tax positions related to the treatment of certain transactions and deductions under IRC Section 280E based on legal interpretations that challenge the Company’s tax liability under IRC Section 280E.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statutory federal tax rate was 21% during both periods. During the three months ended March 31, 2025 the Company had operations in seven U.S. geographic markets: Illinois, Maryland, Massachusetts, Michigan, New Jersey, Ohio, and Pennsylvania, which have state tax rates ranging from 6% to 11.5%. Certain states, including Illinois, Maryland, Michigan, and New Jersey,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$11,031, or 27.9%, of gross profit, during the three months ended March 31, 2025, as compared to $12,510, or 24.0%, of gross profit, during the three months ended March 31, 2024. The effective tax rate on gross profit for the three months ended March 31, 2025 was impacted by higher penalties and interest due on tax payments and uncertain tax positions, partially offset by a benefit from an incremental impact attributable to the tax treatment of certain acquired intangible assets. Refer to Note 14, “Income Taxes,” in the Financial Statements for additional information regarding the Company’s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the three months ended March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20" w:type="dxa"/>
            <w:vAlign w:val="bottom"/>
          </w:tcPr>
          <w:p>
            <w:pPr>
              <w:spacing w:after="0"/>
              <w:rPr>
                <w:sz w:val="14"/>
                <w:szCs w:val="14"/>
                <w:color w:val="auto"/>
              </w:rPr>
            </w:pPr>
          </w:p>
        </w:tc>
        <w:tc>
          <w:tcPr>
            <w:tcW w:w="1360" w:type="dxa"/>
            <w:vAlign w:val="bottom"/>
          </w:tcPr>
          <w:p>
            <w:pPr>
              <w:jc w:val="right"/>
              <w:ind w:right="61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63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39,561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included in cost of goods sold</w:t>
            </w:r>
          </w:p>
        </w:tc>
        <w:tc>
          <w:tcPr>
            <w:tcW w:w="42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7,662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 included in cost of goods sold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52,173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62,384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Gross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40.8 %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43.8 %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three months ended March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20" w:type="dxa"/>
            <w:vAlign w:val="bottom"/>
          </w:tcPr>
          <w:p>
            <w:pPr>
              <w:spacing w:after="0"/>
              <w:rPr>
                <w:sz w:val="14"/>
                <w:szCs w:val="14"/>
                <w:color w:val="auto"/>
              </w:rPr>
            </w:pPr>
          </w:p>
        </w:tc>
        <w:tc>
          <w:tcPr>
            <w:tcW w:w="1360" w:type="dxa"/>
            <w:vAlign w:val="bottom"/>
          </w:tcPr>
          <w:p>
            <w:pPr>
              <w:jc w:val="right"/>
              <w:ind w:right="611"/>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63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12,510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11,190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8,538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16,380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Transaction-related and other non-recurring expenses</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27,013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32,475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21.1 %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22.8 %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Also includes other one-time or non-recurring expenses, as applicable.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expenses including legal and professional fees associated with litigation matters, potential acquisitions, other regulatory matters, and other reserves or one-time expenses. The three months ended March 31, 2025 includes approximately $400 of expenses associated with our January 2025 term loans. The three months ended March 31, 2024 includes: a reserve of $2,703 related to certain amounts associated with a previous transaction, $984 recognized as a discount on a noncurrent receivable, and $140 related to a fair value adjustment associated with an acquisition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that credit facility, as further described below. Additionally,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 In January 2025, we issued an additional $15,000, in aggregate principal, of term loans, for general corporate purposes, including to fund growth initiatives.</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we had total current liabilities of $147,918 and $144,541, respectively, and total current assets of $237,375 and $229,376, respectively, which includes cash and cash equivalents of $100,034 and $88,254, respectively, to meet our current obligations. As of March 31, 2025, we had working capital of $89,457, compared to $84,835 as of December 31, 2024.</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95% and 93% of our cash and cash equivalents balance as of March 31, 2025 and December 31, 2024, respectively, is on deposit with banks, credit unions, or other financial institutions. We have not experienced any material impacts related to banking restrictions applicable to cannabis businesses. Our cash and cash equivalents balance is not restricted for use by VIEs.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we had an accumulated deficit as of March 31, 2025 and December 31, 2024, as well as a net loss for the three months ended March 31, 2025 and 2024,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 Offering</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the Company borrowed an additional $15,000 through the issuance of additional term notes (the “January 2025 Term Notes” and, together with the July 2024 Term Notes, the “2024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 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are included within “General and administrative expenses” on the unaudited Condensed Consolidated Statements of Operations in the Financial Statements for the three months ended March 31, 2025.</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2024 Term Notes bear interest at a rate of 12.75% per annum, payable semi-annually in arrears on January 15 and July 15 of each year until the maturity date, commencing on January 15, 2025, unless earlier prepaid in accordance with the terms of the July 2024 Loan Agreement.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March 31, 2025. The Company is required to comply with certain other financial covenants in contemplation of certain transactions or events, such as acquisitions and other financing activities, as defined within and provided for under the July 2024 Loan Agreement, as amended.</w:t>
      </w:r>
    </w:p>
    <w:p>
      <w:pPr>
        <w:spacing w:after="0" w:line="133" w:lineRule="exact"/>
        <w:rPr>
          <w:sz w:val="20"/>
          <w:szCs w:val="20"/>
          <w:color w:val="auto"/>
        </w:rPr>
      </w:pPr>
    </w:p>
    <w:p>
      <w:pPr>
        <w:ind w:right="1660" w:firstLine="648"/>
        <w:spacing w:after="0" w:line="438" w:lineRule="auto"/>
        <w:rPr>
          <w:sz w:val="20"/>
          <w:szCs w:val="20"/>
          <w:color w:val="auto"/>
        </w:rPr>
      </w:pPr>
      <w:r>
        <w:rPr>
          <w:rFonts w:ascii="Times New Roman" w:cs="Times New Roman" w:eastAsia="Times New Roman" w:hAnsi="Times New Roman"/>
          <w:sz w:val="18"/>
          <w:szCs w:val="18"/>
          <w:color w:val="auto"/>
        </w:rPr>
        <w:t xml:space="preserve">Refer to Note 11, “Debt,” in the Financial Statements for additional information regarding the Company’s debt transactions. </w:t>
      </w:r>
      <w:r>
        <w:rPr>
          <w:rFonts w:ascii="Times New Roman" w:cs="Times New Roman" w:eastAsia="Times New Roman" w:hAnsi="Times New Roman"/>
          <w:sz w:val="18"/>
          <w:szCs w:val="18"/>
          <w:b w:val="1"/>
          <w:bCs w:val="1"/>
          <w:i w:val="1"/>
          <w:iCs w:val="1"/>
          <w:color w:val="auto"/>
        </w:rPr>
        <w:t>Credit Facility</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The 2021 Credit Facility matures on August 27, 2025 and does not require scheduled principal amortization payments. Borrowings under the 2021 Credit Facility bear interest at a rate of 9.5% per annum, payable quarterly.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at their discretion.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 In June 2024, the 2021 Credit Agreement was amended to, among other things, permit the Company to issue new senior secured notes.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2024, the 2021 Credit Agreement was amended to, among other things, permit the Company to issue new senior secured notes. In July 2024, the Company prepaid $215,000 of borrowings outstanding under the 2021 Credit Facility, primarily utilizing the proceeds from the issuance of the 2024 Term Notes, as discussed above. The remaining $60,000 of borrowings outstanding under the 2021 Credit Facility remain outstanding based on the original terms of the 2021 Credit Agreement. The Company recognized, as a component of interest expense, a loss on extinguishment of $5,475, which includes $3,527 of prepayment fees and the write-off of $1,948 of unamortized deferred financing costs that were attributable to those lenders who did not provide funding under the new notes. A total of $1,579 of prepayment fees and $1,428 of previously unamortized deferred financing costs that were associated with existing lenders who participated in the new notes will remain capitalized and will be deferred over the term of the new notes in accordance with modification treatment. A total of $943 of unamortized deferred financing costs were associated with the portion of the 2021 Credit Facility that was not prepaid and will be amortized through the remaining term of those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was in compliance with these covenants as of March 31, 2025. Refer to Note 11, “Debt,” in the Financial Statements for additional information regarding the 2021 Credit Facility and the Company’s other debt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3,900</w:t>
            </w:r>
          </w:p>
        </w:tc>
      </w:tr>
      <w:tr>
        <w:trPr>
          <w:trHeight w:val="257"/>
        </w:trPr>
        <w:tc>
          <w:tcPr>
            <w:tcW w:w="20" w:type="dxa"/>
            <w:vAlign w:val="bottom"/>
          </w:tcPr>
          <w:p>
            <w:pPr>
              <w:spacing w:after="0"/>
              <w:rPr>
                <w:sz w:val="22"/>
                <w:szCs w:val="22"/>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(1,988)</w:t>
            </w:r>
          </w:p>
        </w:tc>
      </w:tr>
      <w:tr>
        <w:trPr>
          <w:trHeight w:val="257"/>
        </w:trPr>
        <w:tc>
          <w:tcPr>
            <w:tcW w:w="20" w:type="dxa"/>
            <w:vAlign w:val="bottom"/>
            <w:shd w:val="clear" w:color="auto" w:fill="CCEEFF"/>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(1,516)</w:t>
            </w: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$2,039 during the three months ended March 31, 2025, as compared to the three months ended March 31, 2024, primarily driven by improvements in working capital management, including a net benefit from the timing of payments to suppliers and vendors and collection of receivables.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by $5,859 during the three months ended March 31, 2025, as compared to the three months ended March 31, 2024. The prior year benefited from the collection of a note receivable, whereas the current year benefited from slightly lower additions to capital assets and lower payments associated with acquisitions.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$13,688 during the three months ended March 31, 2025, as compared to net cash used in financing activities of $1,516 during the three months ended March 31, 2024. The current period reflects the receipt of proceeds from the issuance of the January 2025 Term Notes, net of related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March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Remainder of</w:t>
            </w: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2026 - 2027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2028 - 2029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arrangements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as of March 31, 2025. Refer to Note 11, “Debt,” in the Financial Statements for additional information.</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our term notes payable based on the principal outstanding as of March 31, 2025. Interest payments could fluctuate based on prepayments or additional amounts borrowed.</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 leaseback treatment. Refer to Note 10, “Leases,” in the Financial Statements for additional information.</w:t>
      </w:r>
    </w:p>
    <w:p>
      <w:pPr>
        <w:spacing w:after="0" w:line="87"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Refer to Note 10, “Leases,” in the Financial Statements for additional information.</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excludes up to a total of $10,000 that we expect to fund under a research collaboration agreement associated with a prior acquisition. This funding will be based on a percentage of annual revenue through April 2031, unless satisfied earlier, and no related funding has occurred to date. Refer to Note 15, “Commitments and Contingencies,” in the Financial Statements for additional information.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capital expenditures, net of tenant improvement allowances, totaling approximately $30,000 to $35,000 for 2025.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we expect to build out additional dispensaries across our network, including partner dispensaries. We also anticipate completing certain expansion projects across our cultivation facilities in addition to other enhancements and general maintenance activities across our portfolio. Management expects to fund capital expenditures primarily by utilizing cash flows from operations.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our construction in progress (“CIP”) balance was $8,568 and relates to capital spending on projects that were not yet complete. This balance includes amounts related to certain expansion projects at our New Jersey, Massachusetts, and Illinois cultivation facilities, partner dispensary build-outs,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2024, the Company’s board of directors (the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March 31, 2025, a total of 791 shares had been repurchased under the Buyback Program for an aggregate cost, inclusive of fees, of $345. As of March 31, 2025, approximately $1,905 worth of share purchases remains available under the Buyback Program. Refer to Note 12, “Stockholders’ Equity,” in the Financial Statements for additional information regarding the Company’s capital structure.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March 31, 2025, there were 12,867 shares of Class A common stock available for grant for future awards under the Amended 2021 Plan.</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a total of 225 RSUs under the Amended 2021 Plan and a total of 4,460 granted are unvested as of March 31, 2025. Total unrecognized compensation cost related to the RSUs was $4,120 as of March 31, 2025, which is expected to be recognized over a weighted-average remaining period of 2.4 years.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 total of 3,189 stock option awards are outstanding under the Amended 2021 Plan, of which 2,844 are exercisable. No options were granted during the three months ended March 31, 2025 and none were exercised. As of March 31, 2025, the outstanding options have a remaining weighted-average contractual life of 2.7 years and total unrecognized compensation cost related to unvested options was $202, which is expected to be recognized over a weighted-average remaining period of 1.6 years.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$378 and $6,469, respectively, of equity-based compensation expense within “General and administrative expenses” on the unaudited Condensed Consolidated Statements of Operations in the Financial Statements and recognized $1,138 and $2,211 within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March 31, 2025,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information regarding the Company’s leases and lease-related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15, “Commitments and Contingencies,” in the Financial Statements for information regarding the Company’s significant legal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Transactions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pursuant to which it proposes to acquire an entity that anticipates obtaining an adult-use license in New Jersey plus $1,000 of cash consideration in exchange for the Company’s Ohio cultivation license and facility and related assets (the “Ohio Cultivation Assets”). Pursuant to this definitive agreement, the Company also proposes to acquire an entity in Ohio that owns and operates a dispensary in Ohio in exchange for a conditional dispensary license that the Company expects to receive, plus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March 31, 2025. The total of the Ohio Cultivation Assets was approximately $9,000 as of March 31, 2025, including $4,200 of intangible assets, net, $3,000 of goodwill, $1,200 of inventory, and $400 of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discussed in our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recently issued accounting standards that have not yet been adopted, see Note 2, “Basis of Presentation and Significant Accounting Policies,” to the Financial Statements.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March 31, 2025 and December 31, 2024, as well as a net loss for the three months ended March 31, 2025 and 2024,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discussion of our litigation matters occurring in the period covered by this report is found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“Commitments and Contingencies,” to the Financial Statements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our Annual Report on Form 10-K for the year ended December 31, 2024, in response to Item 1A., “Risk Factors,” of Part I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sales of unregistered securities during the quarter ended March 31, 2025, and from the period from April 1, 2025 to the filing date of this report, which have not been previously disclosed in a prior Quarterly Report on Form 10-Q or Current Report on Form 8-K.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first quarter of 2025, we purchased shares of our Class A common stock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Out</w:t>
            </w:r>
          </w:p>
        </w:tc>
        <w:tc>
          <w:tcPr>
            <w:tcW w:w="0" w:type="dxa"/>
            <w:vAlign w:val="bottom"/>
          </w:tcPr>
          <w:p>
            <w:pPr>
              <w:spacing w:after="0"/>
              <w:rPr>
                <w:sz w:val="1"/>
                <w:szCs w:val="1"/>
                <w:color w:val="auto"/>
              </w:rPr>
            </w:pPr>
          </w:p>
        </w:tc>
      </w:tr>
      <w:tr>
        <w:trPr>
          <w:trHeight w:val="189"/>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2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 Repurchase Plans</w:t>
            </w:r>
          </w:p>
        </w:tc>
        <w:tc>
          <w:tcPr>
            <w:tcW w:w="0" w:type="dxa"/>
            <w:vAlign w:val="bottom"/>
          </w:tcPr>
          <w:p>
            <w:pPr>
              <w:spacing w:after="0"/>
              <w:rPr>
                <w:sz w:val="1"/>
                <w:szCs w:val="1"/>
                <w:color w:val="auto"/>
              </w:rPr>
            </w:pPr>
          </w:p>
        </w:tc>
      </w:tr>
      <w:tr>
        <w:trPr>
          <w:trHeight w:val="229"/>
        </w:trPr>
        <w:tc>
          <w:tcPr>
            <w:tcW w:w="3340" w:type="dxa"/>
            <w:vAlign w:val="bottom"/>
            <w:gridSpan w:val="2"/>
            <w:vMerge w:val="continue"/>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(including fees)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b w:val="1"/>
                <w:bCs w:val="1"/>
                <w:color w:val="auto"/>
                <w:w w:val="94"/>
              </w:rPr>
              <w:t>(in thousands)</w:t>
            </w:r>
            <w:r>
              <w:rPr>
                <w:rFonts w:ascii="Times New Roman" w:cs="Times New Roman" w:eastAsia="Times New Roman" w:hAnsi="Times New Roman"/>
                <w:sz w:val="23"/>
                <w:szCs w:val="23"/>
                <w:b w:val="1"/>
                <w:bCs w:val="1"/>
                <w:color w:val="auto"/>
                <w:w w:val="94"/>
                <w:vertAlign w:val="superscript"/>
              </w:rPr>
              <w:t>(1)(2)</w:t>
            </w:r>
          </w:p>
        </w:tc>
        <w:tc>
          <w:tcPr>
            <w:tcW w:w="0" w:type="dxa"/>
            <w:vAlign w:val="bottom"/>
          </w:tcPr>
          <w:p>
            <w:pPr>
              <w:spacing w:after="0"/>
              <w:rPr>
                <w:sz w:val="1"/>
                <w:szCs w:val="1"/>
                <w:color w:val="auto"/>
              </w:rPr>
            </w:pP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340" w:hanging="332"/>
        <w:spacing w:after="0"/>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December 2024, the Company’s Board of Directors authorized a share buyback program (the “Buyback Program”) which permits the Company to repurchase up to the lesser of (i) approximately 10.216 million shares of the Company’s Class A common stock; and (ii) $2.25 million worth of shares of Class A common stock, in the open market pursuant to a normal course issuer bid, subject to applicable legal, regulatory, and contractual requirements. The Buyback Program will expire on January 1, 2026 and may be suspended, terminated, or modified at any time for any reason and the Company is under no obligation to purchase any such shares for the duration of the Buyback Program. See Note 12, “Stockholders’ Equity,” in the Notes to the unaudited Condensed Consolidated Financial Statements for additional information.</w:t>
      </w:r>
    </w:p>
    <w:p>
      <w:pPr>
        <w:spacing w:after="0" w:line="7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the last day of the respective period. Includes plan administration fee.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 INDEX</w:t>
      </w:r>
    </w:p>
    <w:p>
      <w:pPr>
        <w:spacing w:after="0" w:line="164"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0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4.4</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4.7</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10.2</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31.1*</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31.2*</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90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172"/>
        </w:trPr>
        <w:tc>
          <w:tcPr>
            <w:tcW w:w="4800" w:type="dxa"/>
            <w:vAlign w:val="bottom"/>
            <w:tcBorders>
              <w:top w:val="single" w:sz="8" w:color="auto"/>
            </w:tcBorders>
            <w:gridSpan w:val="30"/>
          </w:tcPr>
          <w:p>
            <w:pPr>
              <w:spacing w:after="0" w:line="17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Certificate of Incorporation</w:t>
              </w:r>
            </w:hyperlink>
          </w:p>
        </w:tc>
        <w:tc>
          <w:tcPr>
            <w:tcW w:w="100" w:type="dxa"/>
            <w:vAlign w:val="bottom"/>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S-1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4"/>
                <w:szCs w:val="14"/>
                <w:color w:val="auto"/>
              </w:rPr>
            </w:pPr>
          </w:p>
        </w:tc>
        <w:tc>
          <w:tcPr>
            <w:tcW w:w="16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50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9"/>
              </w:rPr>
            </w:pPr>
            <w:hyperlink r:id="rId112">
              <w:r>
                <w:rPr>
                  <w:rFonts w:ascii="Times New Roman" w:cs="Times New Roman" w:eastAsia="Times New Roman" w:hAnsi="Times New Roman"/>
                  <w:sz w:val="16"/>
                  <w:szCs w:val="16"/>
                  <w:color w:val="0000FF"/>
                  <w:w w:val="99"/>
                </w:rPr>
                <w:t>Bylaws</w:t>
              </w:r>
            </w:hyperlink>
          </w:p>
        </w:tc>
        <w:tc>
          <w:tcPr>
            <w:tcW w:w="1280" w:type="dxa"/>
            <w:vAlign w:val="bottom"/>
            <w:tcBorders>
              <w:top w:val="single" w:sz="8" w:color="0000FF"/>
            </w:tcBorders>
          </w:tcPr>
          <w:p>
            <w:pPr>
              <w:spacing w:after="0"/>
              <w:rPr>
                <w:sz w:val="19"/>
                <w:szCs w:val="19"/>
                <w:color w:val="auto"/>
              </w:rPr>
            </w:pPr>
          </w:p>
        </w:tc>
        <w:tc>
          <w:tcPr>
            <w:tcW w:w="3120" w:type="dxa"/>
            <w:vAlign w:val="bottom"/>
            <w:gridSpan w:val="29"/>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31"/>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Specimen Stock Certificate evidencing the shares of common stock</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223"/>
        </w:trPr>
        <w:tc>
          <w:tcPr>
            <w:tcW w:w="26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of Registration Rights Agreement</w:t>
              </w:r>
            </w:hyperlink>
          </w:p>
        </w:tc>
        <w:tc>
          <w:tcPr>
            <w:tcW w:w="1780" w:type="dxa"/>
            <w:vAlign w:val="bottom"/>
            <w:tcBorders>
              <w:top w:val="single" w:sz="8" w:color="0000FF"/>
            </w:tcBorders>
            <w:gridSpan w:val="14"/>
          </w:tcPr>
          <w:p>
            <w:pPr>
              <w:spacing w:after="0"/>
              <w:rPr>
                <w:sz w:val="19"/>
                <w:szCs w:val="19"/>
                <w:color w:val="auto"/>
              </w:rPr>
            </w:pPr>
          </w:p>
        </w:tc>
        <w:tc>
          <w:tcPr>
            <w:tcW w:w="520" w:type="dxa"/>
            <w:vAlign w:val="bottom"/>
            <w:gridSpan w:val="14"/>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31"/>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Form of Warrant Agreement between Ascend Wellness Holdings, Inc.</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15, 2022</w:t>
            </w:r>
          </w:p>
        </w:tc>
      </w:tr>
      <w:tr>
        <w:trPr>
          <w:trHeight w:val="142"/>
        </w:trPr>
        <w:tc>
          <w:tcPr>
            <w:tcW w:w="33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and each of the several lenders, dated June 30, 2022</w:t>
              </w:r>
            </w:hyperlink>
          </w:p>
        </w:tc>
        <w:tc>
          <w:tcPr>
            <w:tcW w:w="11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31"/>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Indenture dated July 16, 2024 by and between Ascend Wellness</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286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Holdings, Inc. and Odyssey Trust Company</w:t>
              </w:r>
            </w:hyperlink>
          </w:p>
        </w:tc>
        <w:tc>
          <w:tcPr>
            <w:tcW w:w="13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31"/>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Guaranty dated July 16, 2024 by and between Chicago Alternative</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434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Health Center, LLC, HealthCentral, LLC, MOCA LLC, Revolution</w:t>
              </w:r>
            </w:hyperlink>
          </w:p>
        </w:tc>
        <w:tc>
          <w:tcPr>
            <w:tcW w:w="4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380" w:type="dxa"/>
            <w:vAlign w:val="bottom"/>
            <w:gridSpan w:val="17"/>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Cannabis-Barry, LLC, The Homecoming Group, LLC, Ascend</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0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Maryland, LLC, Ascend Mass, LLC, MassGrow, LLC, FPAW</w:t>
              </w:r>
            </w:hyperlink>
          </w:p>
        </w:tc>
        <w:tc>
          <w:tcPr>
            <w:tcW w:w="820" w:type="dxa"/>
            <w:vAlign w:val="bottom"/>
            <w:gridSpan w:val="23"/>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Michigan</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70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LLC, Ascend New Jersey, LLC, BCCO, LLC, Ohio Cannabis Clinic</w:t>
              </w:r>
            </w:hyperlink>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18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LLC, and Story of PA CR, LLC (collectively, the “Guarantors”)</w:t>
              </w:r>
            </w:hyperlink>
          </w:p>
        </w:tc>
        <w:tc>
          <w:tcPr>
            <w:tcW w:w="2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44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Pledge and Security Agreement dated July 16, 2024 by and between</w:t>
              </w:r>
            </w:hyperlink>
          </w:p>
        </w:tc>
        <w:tc>
          <w:tcPr>
            <w:tcW w:w="460" w:type="dxa"/>
            <w:vAlign w:val="bottom"/>
            <w:gridSpan w:val="13"/>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4900" w:type="dxa"/>
            <w:vAlign w:val="bottom"/>
            <w:gridSpan w:val="31"/>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Ascend Wellness Holdings, Inc., and Revolution Cannabis-Barry, LLC,</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6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Chicago Alternative Health Center, LLC, MOCA LLC, Healthcentral,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54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LLC, The Homecoming Group, LLC, Ascend Mass, LLC, Massgrow,</w:t>
              </w:r>
            </w:hyperlink>
          </w:p>
        </w:tc>
        <w:tc>
          <w:tcPr>
            <w:tcW w:w="4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900" w:type="dxa"/>
            <w:vAlign w:val="bottom"/>
            <w:gridSpan w:val="31"/>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LLC, FPAW Michigan, LLC, BCCO, LLC, Ohio Cannabis Clinic LLC,</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66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Ascend New Jersey, LLC, Story Of PA CR, LLC, Ascend Maryland,</w:t>
              </w:r>
            </w:hyperlink>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4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LLC, Ascend Mass, Inc., Ascend Illinois Holdings, LLC, Ascend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24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Illinois, LLC, Massgrow, Inc., AWH Pennsylvania, LLC, FPAW</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18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Michigan 2, Inc., as the initial grantors (collectively, the “Initial</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1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Grantors”), and Odyssey Trust Company</w:t>
              </w:r>
            </w:hyperlink>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
        </w:trPr>
        <w:tc>
          <w:tcPr>
            <w:tcW w:w="2660" w:type="dxa"/>
            <w:vAlign w:val="bottom"/>
            <w:gridSpan w:val="4"/>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4900" w:type="dxa"/>
            <w:vAlign w:val="bottom"/>
            <w:gridSpan w:val="31"/>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First Supplemental Indenture dated January 13, 2025 by and between</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2025</w:t>
            </w:r>
          </w:p>
        </w:tc>
      </w:tr>
      <w:tr>
        <w:trPr>
          <w:trHeight w:val="142"/>
        </w:trPr>
        <w:tc>
          <w:tcPr>
            <w:tcW w:w="40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Ascend Wellness Holdings, Inc. and Odyssey Trust Company</w:t>
              </w:r>
            </w:hyperlink>
          </w:p>
        </w:tc>
        <w:tc>
          <w:tcPr>
            <w:tcW w:w="500" w:type="dxa"/>
            <w:vAlign w:val="bottom"/>
            <w:tcBorders>
              <w:top w:val="single" w:sz="8" w:color="0000FF"/>
            </w:tcBorders>
            <w:gridSpan w:val="14"/>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31"/>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Amendment No. 2 to Credit Agreement, dated June 28, 2024, by and</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2025</w:t>
            </w:r>
          </w:p>
        </w:tc>
      </w:tr>
      <w:tr>
        <w:trPr>
          <w:trHeight w:val="142"/>
        </w:trPr>
        <w:tc>
          <w:tcPr>
            <w:tcW w:w="448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w w:val="97"/>
              </w:rPr>
            </w:pPr>
            <w:hyperlink r:id="rId120">
              <w:r>
                <w:rPr>
                  <w:rFonts w:ascii="Times New Roman" w:cs="Times New Roman" w:eastAsia="Times New Roman" w:hAnsi="Times New Roman"/>
                  <w:sz w:val="16"/>
                  <w:szCs w:val="16"/>
                  <w:color w:val="0000FF"/>
                  <w:w w:val="97"/>
                </w:rPr>
                <w:t>among Ascend Wellness Holdings, Inc, group of lenders, and Acquiom</w:t>
              </w:r>
            </w:hyperlink>
          </w:p>
        </w:tc>
        <w:tc>
          <w:tcPr>
            <w:tcW w:w="140" w:type="dxa"/>
            <w:vAlign w:val="bottom"/>
            <w:tcBorders>
              <w:bottom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320" w:type="dxa"/>
            <w:vAlign w:val="bottom"/>
            <w:tcBorders>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Agency Services LLC as administrative agent and collateral agent</w:t>
              </w:r>
            </w:hyperlink>
          </w:p>
        </w:tc>
        <w:tc>
          <w:tcPr>
            <w:tcW w:w="3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31"/>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Amendment No. 3 to Credit Agreement, dated January 13, 2025, by and</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2025</w:t>
            </w:r>
          </w:p>
        </w:tc>
      </w:tr>
      <w:tr>
        <w:trPr>
          <w:trHeight w:val="142"/>
        </w:trPr>
        <w:tc>
          <w:tcPr>
            <w:tcW w:w="46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among Ascend Wellness Holdings, Inc, group of lenders, and Acquiom</w:t>
              </w:r>
            </w:hyperlink>
          </w:p>
        </w:tc>
        <w:tc>
          <w:tcPr>
            <w:tcW w:w="22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430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Agency Services LLC as administrative agent and collateral agent</w:t>
              </w:r>
            </w:hyperlink>
          </w:p>
        </w:tc>
        <w:tc>
          <w:tcPr>
            <w:tcW w:w="320" w:type="dxa"/>
            <w:vAlign w:val="bottom"/>
            <w:tcBorders>
              <w:top w:val="single" w:sz="8" w:color="0000FF"/>
            </w:tcBorders>
            <w:gridSpan w:val="11"/>
          </w:tcPr>
          <w:p>
            <w:pPr>
              <w:spacing w:after="0"/>
              <w:rPr>
                <w:sz w:val="12"/>
                <w:szCs w:val="12"/>
                <w:color w:val="auto"/>
              </w:rPr>
            </w:pPr>
          </w:p>
        </w:tc>
        <w:tc>
          <w:tcPr>
            <w:tcW w:w="280" w:type="dxa"/>
            <w:vAlign w:val="bottom"/>
            <w:gridSpan w:val="6"/>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96"/>
        </w:trPr>
        <w:tc>
          <w:tcPr>
            <w:tcW w:w="4900" w:type="dxa"/>
            <w:vAlign w:val="bottom"/>
            <w:gridSpan w:val="31"/>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Amended and Restated Employment Agreement between Ascend</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2025</w:t>
            </w:r>
          </w:p>
        </w:tc>
      </w:tr>
      <w:tr>
        <w:trPr>
          <w:trHeight w:val="142"/>
        </w:trPr>
        <w:tc>
          <w:tcPr>
            <w:tcW w:w="424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Wellness Holdings, Inc. and Abner Kurtin, dated March 10, 2025</w:t>
              </w:r>
            </w:hyperlink>
          </w:p>
        </w:tc>
        <w:tc>
          <w:tcPr>
            <w:tcW w:w="20" w:type="dxa"/>
            <w:vAlign w:val="bottom"/>
            <w:tcBorders>
              <w:top w:val="single" w:sz="8" w:color="0000FF"/>
            </w:tcBorders>
          </w:tcPr>
          <w:p>
            <w:pPr>
              <w:spacing w:after="0"/>
              <w:rPr>
                <w:sz w:val="12"/>
                <w:szCs w:val="12"/>
                <w:color w:val="auto"/>
              </w:rPr>
            </w:pPr>
          </w:p>
        </w:tc>
        <w:tc>
          <w:tcPr>
            <w:tcW w:w="640" w:type="dxa"/>
            <w:vAlign w:val="bottom"/>
            <w:gridSpan w:val="18"/>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-3651250</wp:posOffset>
            </wp:positionV>
            <wp:extent cx="710628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-3342640</wp:posOffset>
            </wp:positionV>
            <wp:extent cx="7106285"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-2862580</wp:posOffset>
            </wp:positionV>
            <wp:extent cx="7106285" cy="651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06285" cy="65151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-1148080</wp:posOffset>
            </wp:positionV>
            <wp:extent cx="7106285"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-565150</wp:posOffset>
            </wp:positionV>
            <wp:extent cx="7106285"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06285" cy="34290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-3968115</wp:posOffset>
            </wp:positionV>
            <wp:extent cx="710628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Executive Officer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Financial Officer under</w:t>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and Principal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Officer Pursuant to 18 U.S.C. Section 1350 as Adopted Pursuant to</w:t>
      </w:r>
    </w:p>
    <w:p>
      <w:pPr>
        <w:spacing w:after="0"/>
        <w:rPr>
          <w:sz w:val="20"/>
          <w:szCs w:val="20"/>
          <w:color w:val="auto"/>
        </w:rPr>
      </w:pPr>
      <w:r>
        <w:rPr>
          <w:rFonts w:ascii="Times New Roman" w:cs="Times New Roman" w:eastAsia="Times New Roman" w:hAnsi="Times New Roman"/>
          <w:sz w:val="16"/>
          <w:szCs w:val="16"/>
          <w:u w:val="single" w:color="auto"/>
          <w:color w:val="0000FF"/>
        </w:rPr>
        <w:t>Section 906 of the Sarbanes-Oxley Act of 2002</w:t>
      </w:r>
    </w:p>
    <w:p>
      <w:pPr>
        <w:spacing w:after="0" w:line="200" w:lineRule="exact"/>
        <w:rPr>
          <w:sz w:val="20"/>
          <w:szCs w:val="20"/>
          <w:color w:val="auto"/>
        </w:rPr>
      </w:pPr>
    </w:p>
    <w:p>
      <w:pPr>
        <w:sectPr>
          <w:pgSz w:w="11900" w:h="16838" w:orient="portrait"/>
          <w:cols w:equalWidth="0" w:num="2">
            <w:col w:w="840" w:space="480"/>
            <w:col w:w="99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3" w:name="page64"/>
    <w:bookmarkEnd w:id="63"/>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101.INS*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w:t>
      </w:r>
    </w:p>
    <w:p>
      <w:pPr>
        <w:spacing w:after="0" w:line="36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w:t>
      </w:r>
    </w:p>
    <w:p>
      <w:pPr>
        <w:spacing w:after="0" w:line="211" w:lineRule="auto"/>
        <w:rPr>
          <w:sz w:val="20"/>
          <w:szCs w:val="20"/>
          <w:color w:val="auto"/>
        </w:rPr>
      </w:pPr>
      <w:r>
        <w:rPr>
          <w:rFonts w:ascii="Times New Roman" w:cs="Times New Roman" w:eastAsia="Times New Roman" w:hAnsi="Times New Roman"/>
          <w:sz w:val="16"/>
          <w:szCs w:val="16"/>
          <w:color w:val="auto"/>
        </w:rPr>
        <w:t>in the Interactive Data File because its XBRL tags are embedded within</w:t>
      </w:r>
    </w:p>
    <w:p>
      <w:pPr>
        <w:spacing w:after="0"/>
        <w:rPr>
          <w:sz w:val="20"/>
          <w:szCs w:val="20"/>
          <w:color w:val="auto"/>
        </w:rPr>
      </w:pPr>
      <w:r>
        <w:rPr>
          <w:rFonts w:ascii="Times New Roman" w:cs="Times New Roman" w:eastAsia="Times New Roman" w:hAnsi="Times New Roman"/>
          <w:sz w:val="16"/>
          <w:szCs w:val="16"/>
          <w:color w:val="auto"/>
        </w:rPr>
        <w:t>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-116205</wp:posOffset>
            </wp:positionV>
            <wp:extent cx="710628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-116205</wp:posOffset>
            </wp:positionV>
            <wp:extent cx="710628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-116205</wp:posOffset>
            </wp:positionV>
            <wp:extent cx="710628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p>
      <w:pPr>
        <w:spacing w:after="0"/>
        <w:rPr>
          <w:sz w:val="20"/>
          <w:szCs w:val="20"/>
          <w:color w:val="auto"/>
        </w:rPr>
      </w:pPr>
      <w:r>
        <w:rPr>
          <w:rFonts w:ascii="Times New Roman" w:cs="Times New Roman" w:eastAsia="Times New Roman" w:hAnsi="Times New Roman"/>
          <w:sz w:val="16"/>
          <w:szCs w:val="16"/>
          <w:color w:val="auto"/>
        </w:rPr>
        <w:t>contained in Exhibit 101)</w:t>
      </w:r>
    </w:p>
    <w:p>
      <w:pPr>
        <w:spacing w:after="0" w:line="464" w:lineRule="exact"/>
        <w:rPr>
          <w:sz w:val="20"/>
          <w:szCs w:val="20"/>
          <w:color w:val="auto"/>
        </w:rPr>
      </w:pPr>
    </w:p>
    <w:p>
      <w:pPr>
        <w:sectPr>
          <w:pgSz w:w="11900" w:h="16838" w:orient="portrait"/>
          <w:cols w:equalWidth="0" w:num="2">
            <w:col w:w="1100" w:space="240"/>
            <w:col w:w="9900"/>
          </w:cols>
          <w:pgMar w:left="320" w:top="1440" w:right="339" w:bottom="1440" w:gutter="0" w:footer="0" w:header="0"/>
        </w:sect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 contract, or arrangement.</w:t>
      </w:r>
    </w:p>
    <w:p>
      <w:pPr>
        <w:spacing w:after="0" w:line="123" w:lineRule="exact"/>
        <w:rPr>
          <w:sz w:val="20"/>
          <w:szCs w:val="20"/>
          <w:color w:val="auto"/>
        </w:rPr>
      </w:pPr>
    </w:p>
    <w:p>
      <w:pPr>
        <w:ind w:left="340" w:hanging="332"/>
        <w:spacing w:after="0" w:line="302" w:lineRule="auto"/>
        <w:tabs>
          <w:tab w:leader="none" w:pos="24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54" w:lineRule="exact"/>
        <w:rPr>
          <w:sz w:val="20"/>
          <w:szCs w:val="20"/>
          <w:color w:val="auto"/>
        </w:rPr>
      </w:pPr>
    </w:p>
    <w:p>
      <w:pPr>
        <w:ind w:left="340" w:hanging="332"/>
        <w:spacing w:after="0" w:line="302"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in compliance with Regulation S-K Item 601(a)(5) or certain personal information has been redacted from this exhibit pursuant to Item 601(a)(6) of Regulation S-K.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4" w:name="page65"/>
    <w:bookmarkEnd w:id="6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Ascend Wellness Holdings, Inc.</w:t>
            </w:r>
          </w:p>
        </w:tc>
      </w:tr>
      <w:tr>
        <w:trPr>
          <w:trHeight w:val="6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12, 2025</w:t>
            </w:r>
          </w:p>
        </w:tc>
        <w:tc>
          <w:tcPr>
            <w:tcW w:w="566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32"/>
        </w:trPr>
        <w:tc>
          <w:tcPr>
            <w:tcW w:w="1020" w:type="dxa"/>
            <w:vAlign w:val="bottom"/>
            <w:tcBorders>
              <w:top w:val="single" w:sz="8" w:color="auto"/>
            </w:tcBorders>
          </w:tcPr>
          <w:p>
            <w:pPr>
              <w:spacing w:after="0"/>
              <w:rPr>
                <w:sz w:val="20"/>
                <w:szCs w:val="20"/>
                <w:color w:val="auto"/>
              </w:rPr>
            </w:pPr>
          </w:p>
        </w:tc>
        <w:tc>
          <w:tcPr>
            <w:tcW w:w="56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Samuel Brill</w:t>
            </w:r>
          </w:p>
        </w:tc>
        <w:tc>
          <w:tcPr>
            <w:tcW w:w="1260" w:type="dxa"/>
            <w:vAlign w:val="bottom"/>
            <w:gridSpan w:val="2"/>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10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12, 2025</w:t>
            </w:r>
          </w:p>
        </w:tc>
        <w:tc>
          <w:tcPr>
            <w:tcW w:w="566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32"/>
        </w:trPr>
        <w:tc>
          <w:tcPr>
            <w:tcW w:w="1020" w:type="dxa"/>
            <w:vAlign w:val="bottom"/>
            <w:tcBorders>
              <w:top w:val="single" w:sz="8" w:color="auto"/>
            </w:tcBorders>
          </w:tcPr>
          <w:p>
            <w:pPr>
              <w:spacing w:after="0"/>
              <w:rPr>
                <w:sz w:val="20"/>
                <w:szCs w:val="20"/>
                <w:color w:val="auto"/>
              </w:rPr>
            </w:pPr>
          </w:p>
        </w:tc>
        <w:tc>
          <w:tcPr>
            <w:tcW w:w="5660" w:type="dxa"/>
            <w:vAlign w:val="bottom"/>
          </w:tcPr>
          <w:p>
            <w:pPr>
              <w:spacing w:after="0"/>
              <w:rPr>
                <w:sz w:val="20"/>
                <w:szCs w:val="20"/>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Roman Nemchenko</w:t>
            </w:r>
          </w:p>
        </w:tc>
        <w:tc>
          <w:tcPr>
            <w:tcW w:w="74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0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240"/>
          </w:cols>
          <w:pgMar w:left="320" w:top="144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Brill, certify that:</w:t>
      </w:r>
    </w:p>
    <w:p>
      <w:pPr>
        <w:spacing w:after="0" w:line="11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28"/>
        </w:trPr>
        <w:tc>
          <w:tcPr>
            <w:tcW w:w="62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Samuel Brill</w:t>
            </w:r>
          </w:p>
        </w:tc>
      </w:tr>
    </w:tbl>
    <w:p>
      <w:pPr>
        <w:ind w:left="6240"/>
        <w:spacing w:after="0" w:line="215" w:lineRule="auto"/>
        <w:rPr>
          <w:sz w:val="20"/>
          <w:szCs w:val="20"/>
          <w:color w:val="auto"/>
        </w:rPr>
      </w:pPr>
      <w:r>
        <w:rPr>
          <w:rFonts w:ascii="Times New Roman" w:cs="Times New Roman" w:eastAsia="Times New Roman" w:hAnsi="Times New Roman"/>
          <w:sz w:val="18"/>
          <w:szCs w:val="18"/>
          <w:color w:val="auto"/>
        </w:rPr>
        <w:t>Chief Executive Officer</w:t>
      </w: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Nemchenko, certify that:</w:t>
      </w:r>
    </w:p>
    <w:p>
      <w:pPr>
        <w:spacing w:after="0" w:line="11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28"/>
        </w:trPr>
        <w:tc>
          <w:tcPr>
            <w:tcW w:w="62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Roman Nemchenko</w:t>
            </w:r>
          </w:p>
        </w:tc>
      </w:tr>
    </w:tbl>
    <w:p>
      <w:pPr>
        <w:ind w:left="6240"/>
        <w:spacing w:after="0" w:line="215" w:lineRule="auto"/>
        <w:rPr>
          <w:sz w:val="20"/>
          <w:szCs w:val="20"/>
          <w:color w:val="auto"/>
        </w:rPr>
      </w:pPr>
      <w:r>
        <w:rPr>
          <w:rFonts w:ascii="Times New Roman" w:cs="Times New Roman" w:eastAsia="Times New Roman" w:hAnsi="Times New Roman"/>
          <w:sz w:val="18"/>
          <w:szCs w:val="18"/>
          <w:color w:val="auto"/>
        </w:rPr>
        <w:t>Chief Financial Officer</w:t>
      </w: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Ascend Wellness Holdings, Inc. (the “Company”) for the quarter ended March 31, 2025,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0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00" w:type="dxa"/>
            <w:vAlign w:val="bottom"/>
          </w:tcPr>
          <w:p>
            <w:pPr>
              <w:spacing w:after="0"/>
              <w:rPr>
                <w:sz w:val="15"/>
                <w:szCs w:val="15"/>
                <w:color w:val="auto"/>
              </w:rPr>
            </w:pPr>
          </w:p>
        </w:tc>
        <w:tc>
          <w:tcPr>
            <w:tcW w:w="4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28"/>
        </w:trPr>
        <w:tc>
          <w:tcPr>
            <w:tcW w:w="66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bl>
    <w:p>
      <w:pPr>
        <w:ind w:left="6640"/>
        <w:spacing w:after="0" w:line="215" w:lineRule="auto"/>
        <w:rPr>
          <w:sz w:val="20"/>
          <w:szCs w:val="20"/>
          <w:color w:val="auto"/>
        </w:rPr>
      </w:pPr>
      <w:r>
        <w:rPr>
          <w:rFonts w:ascii="Times New Roman" w:cs="Times New Roman" w:eastAsia="Times New Roman" w:hAnsi="Times New Roman"/>
          <w:sz w:val="18"/>
          <w:szCs w:val="18"/>
          <w:color w:val="auto"/>
        </w:rPr>
        <w:t>Chief Financial Officer</w:t>
      </w: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lowerRoman"/>
      <w:start w:val="2"/>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decimal"/>
      <w:start w:val="3"/>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3"/>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5"/>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11" Type="http://schemas.openxmlformats.org/officeDocument/2006/relationships/hyperlink" Target="https://www.sec.gov/Archives/edgar/data/1756390/000162828021007411/exhibit34-sx1a2.htm" TargetMode="External"/><Relationship Id="rId112" Type="http://schemas.openxmlformats.org/officeDocument/2006/relationships/hyperlink" Target="https://www.sec.gov/Archives/edgar/data/1756390/000162828021007411/exhibit35-sx1a2.htm" TargetMode="External"/><Relationship Id="rId113" Type="http://schemas.openxmlformats.org/officeDocument/2006/relationships/hyperlink" Target="https://www.sec.gov/Archives/edgar/data/1756390/000162828021006948/exhibit41-sx1a1.htm" TargetMode="External"/><Relationship Id="rId114" Type="http://schemas.openxmlformats.org/officeDocument/2006/relationships/hyperlink" Target="https://www.sec.gov/Archives/edgar/data/1756390/000162828021007411/exhibit42-sx1a2.htm" TargetMode="External"/><Relationship Id="rId115" Type="http://schemas.openxmlformats.org/officeDocument/2006/relationships/hyperlink" Target="https://www.sec.gov/Archives/edgar/data/1756390/000162828022022910/formofwarrantagreement.htm" TargetMode="External"/><Relationship Id="rId116" Type="http://schemas.openxmlformats.org/officeDocument/2006/relationships/hyperlink" Target="https://www.sec.gov/Archives/edgar/data/1756390/000162828024032485/awh-2024notesindentureex41.htm" TargetMode="External"/><Relationship Id="rId117" Type="http://schemas.openxmlformats.org/officeDocument/2006/relationships/hyperlink" Target="https://www.sec.gov/Archives/edgar/data/1756390/000162828024032485/ascend-guarantyex42toform8.htm" TargetMode="External"/><Relationship Id="rId118" Type="http://schemas.openxmlformats.org/officeDocument/2006/relationships/hyperlink" Target="https://www.sec.gov/Archives/edgar/data/1756390/000162828024032485/ascend-pledgeandsecurityag.htm" TargetMode="External"/><Relationship Id="rId119" Type="http://schemas.openxmlformats.org/officeDocument/2006/relationships/hyperlink" Target="https://www.sec.gov/Archives/edgar/data/1756390/000162828025001438/ex41firstsupplementalinden.htm" TargetMode="External"/><Relationship Id="rId120" Type="http://schemas.openxmlformats.org/officeDocument/2006/relationships/hyperlink" Target="https://www.sec.gov/Archives/edgar/data/1756390/000162828025012668/exhibit103amendmentno2tocr.htm" TargetMode="External"/><Relationship Id="rId121" Type="http://schemas.openxmlformats.org/officeDocument/2006/relationships/hyperlink" Target="https://www.sec.gov/Archives/edgar/data/1756390/000162828025012668/exhibit104amendmentno3tocr.htm" TargetMode="External"/><Relationship Id="rId122" Type="http://schemas.openxmlformats.org/officeDocument/2006/relationships/hyperlink" Target="https://www.sec.gov/Archives/edgar/data/1756390/000162828025012668/exhibit1013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2025-05-12T16:42:16Z</dcterms:created>
  <dcterms:modified xsi:type="dcterms:W3CDTF">2025-05-12T16:42:16Z</dcterms:modified>
</cp:coreProperties>
</file>