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jc w:val="center"/>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 to______</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333-254800 </w:t>
      </w:r>
    </w:p>
    <w:p>
      <w:pPr>
        <w:pStyle w:val="TextBody"/>
        <w:spacing w:before="0" w:after="0"/>
        <w:jc w:val="center"/>
        <w:rPr/>
      </w:pPr>
      <w:r>
        <w:rPr/>
        <w:drawing>
          <wp:inline distT="0" distB="63500" distL="0" distR="0">
            <wp:extent cx="23812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ASCEND WELLNESS HOLDINGS, INC.</w:t>
      </w:r>
    </w:p>
    <w:p>
      <w:pPr>
        <w:pStyle w:val="TextBody"/>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83-0602006</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0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1411 Broadway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16th Floor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 York, NY 10018</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(646) 661-7600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 None</w:t>
      </w:r>
    </w:p>
    <w:tbl>
      <w:tblPr>
        <w:tblW w:w="7552" w:type="dxa"/>
        <w:jc w:val="center"/>
        <w:tblInd w:w="0" w:type="dxa"/>
        <w:tblCellMar>
          <w:top w:w="28" w:type="dxa"/>
          <w:left w:w="28" w:type="dxa"/>
          <w:bottom w:w="28" w:type="dxa"/>
          <w:right w:w="28" w:type="dxa"/>
        </w:tblCellMar>
      </w:tblPr>
      <w:tblGrid>
        <w:gridCol w:w="570"/>
        <w:gridCol w:w="499"/>
        <w:gridCol w:w="505"/>
        <w:gridCol w:w="109"/>
        <w:gridCol w:w="109"/>
        <w:gridCol w:w="109"/>
        <w:gridCol w:w="539"/>
        <w:gridCol w:w="539"/>
        <w:gridCol w:w="541"/>
        <w:gridCol w:w="109"/>
        <w:gridCol w:w="109"/>
        <w:gridCol w:w="109"/>
        <w:gridCol w:w="1085"/>
        <w:gridCol w:w="1085"/>
        <w:gridCol w:w="1535"/>
      </w:tblGrid>
      <w:tr>
        <w:trPr/>
        <w:tc>
          <w:tcPr>
            <w:tcW w:w="57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before="0" w:after="180"/>
        <w:jc w:val="center"/>
        <w:rPr/>
      </w:pPr>
      <w:r>
        <w:rPr/>
      </w:r>
    </w:p>
    <w:p>
      <w:pPr>
        <w:pStyle w:val="TextBody"/>
        <w:spacing w:before="0" w:after="180"/>
        <w:jc w:val="center"/>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As of May 9, 2022, there were 188,090,158 shares of the registrant’s Class A common stock, par value $0.001, and 65,000 shares of the registrant’s Class B common stock, par value $0.001,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51" w:type="dxa"/>
        <w:jc w:val="left"/>
        <w:tblInd w:w="0" w:type="dxa"/>
        <w:tblCellMar>
          <w:top w:w="28" w:type="dxa"/>
          <w:left w:w="28" w:type="dxa"/>
          <w:bottom w:w="28" w:type="dxa"/>
          <w:right w:w="28" w:type="dxa"/>
        </w:tblCellMar>
      </w:tblPr>
      <w:tblGrid>
        <w:gridCol w:w="2890"/>
        <w:gridCol w:w="2542"/>
        <w:gridCol w:w="2547"/>
        <w:gridCol w:w="109"/>
        <w:gridCol w:w="109"/>
        <w:gridCol w:w="154"/>
      </w:tblGrid>
      <w:tr>
        <w:trPr/>
        <w:tc>
          <w:tcPr>
            <w:tcW w:w="2890" w:type="dxa"/>
            <w:tcBorders/>
            <w:shd w:fill="auto" w:val="clear"/>
            <w:vAlign w:val="center"/>
          </w:tcPr>
          <w:p>
            <w:pPr>
              <w:pStyle w:val="TableContents"/>
              <w:spacing w:before="0" w:after="283"/>
              <w:rPr>
                <w:sz w:val="4"/>
                <w:szCs w:val="4"/>
              </w:rPr>
            </w:pPr>
            <w:r>
              <w:rPr>
                <w:sz w:val="4"/>
                <w:szCs w:val="4"/>
              </w:rPr>
            </w:r>
          </w:p>
        </w:tc>
        <w:tc>
          <w:tcPr>
            <w:tcW w:w="2542" w:type="dxa"/>
            <w:tcBorders/>
            <w:shd w:fill="auto" w:val="clear"/>
            <w:vAlign w:val="center"/>
          </w:tcPr>
          <w:p>
            <w:pPr>
              <w:pStyle w:val="TableContents"/>
              <w:spacing w:before="0" w:after="283"/>
              <w:rPr>
                <w:sz w:val="4"/>
                <w:szCs w:val="4"/>
              </w:rPr>
            </w:pPr>
            <w:r>
              <w:rPr>
                <w:sz w:val="4"/>
                <w:szCs w:val="4"/>
              </w:rPr>
            </w:r>
          </w:p>
        </w:tc>
        <w:tc>
          <w:tcPr>
            <w:tcW w:w="2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0">
              <w:r>
                <w:rPr>
                  <w:rStyle w:val="InternetLink"/>
                  <w:rFonts w:ascii="Times New Roman;sans-serif" w:hAnsi="Times New Roman;sans-serif"/>
                  <w:b w:val="false"/>
                  <w:color w:val="0000FF"/>
                  <w:sz w:val="20"/>
                  <w:u w:val="single"/>
                </w:rPr>
                <w:t>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3">
              <w:r>
                <w:rPr>
                  <w:rStyle w:val="InternetLink"/>
                  <w:rFonts w:ascii="Times New Roman;sans-serif" w:hAnsi="Times New Roman;sans-serif"/>
                  <w:b w:val="false"/>
                  <w:color w:val="0000FF"/>
                  <w:sz w:val="20"/>
                  <w:u w:val="single"/>
                </w:rPr>
                <w:t>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Condensed Consolidated Financial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6">
              <w:r>
                <w:rPr>
                  <w:rStyle w:val="InternetLink"/>
                  <w:rFonts w:ascii="Times New Roman;sans-serif" w:hAnsi="Times New Roman;sans-serif"/>
                  <w:b w:val="false"/>
                  <w:color w:val="0000FF"/>
                  <w:sz w:val="20"/>
                  <w:u w:val="single"/>
                </w:rPr>
                <w:t>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Management’s Discussion and Analysis of Financial Condition and Results of Operations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00">
              <w:r>
                <w:rPr>
                  <w:rStyle w:val="InternetLink"/>
                  <w:rFonts w:ascii="Times New Roman;sans-serif" w:hAnsi="Times New Roman;sans-serif"/>
                  <w:b w:val="false"/>
                  <w:color w:val="0000FF"/>
                  <w:sz w:val="20"/>
                  <w:u w:val="single"/>
                </w:rPr>
                <w:t>28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Quantitative and Qualitative Disclosures About Market Risk</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27">
              <w:r>
                <w:rPr>
                  <w:rStyle w:val="InternetLink"/>
                  <w:rFonts w:ascii="Times New Roman;sans-serif" w:hAnsi="Times New Roman;sans-serif"/>
                  <w:b w:val="false"/>
                  <w:color w:val="0000FF"/>
                  <w:sz w:val="20"/>
                  <w:u w:val="single"/>
                </w:rPr>
                <w:t>41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Controls and Procedures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30">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33">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 Legal Proceedings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36">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 Risk Factors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39">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 Unregistered Sales of Equity Securities and Use of Proceeds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42">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 Defaults Upon Senior Securities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45">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 Mine Safety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48">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 Other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51">
              <w:r>
                <w:rPr>
                  <w:rStyle w:val="InternetLink"/>
                  <w:rFonts w:ascii="Times New Roman;sans-serif" w:hAnsi="Times New Roman;sans-serif"/>
                  <w:b w:val="false"/>
                  <w:color w:val="0000FF"/>
                  <w:sz w:val="20"/>
                  <w:u w:val="singl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 Exhibits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54">
              <w:r>
                <w:rPr>
                  <w:rStyle w:val="InternetLink"/>
                  <w:rFonts w:ascii="Times New Roman;sans-serif" w:hAnsi="Times New Roman;sans-serif"/>
                  <w:b w:val="false"/>
                  <w:color w:val="0000FF"/>
                  <w:sz w:val="20"/>
                  <w:u w:val="single"/>
                </w:rPr>
                <w:t>43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0f7ec6266a548d3bd9910e8a2d342e7_157">
              <w:r>
                <w:rPr>
                  <w:rStyle w:val="InternetLink"/>
                  <w:rFonts w:ascii="Times New Roman;sans-serif" w:hAnsi="Times New Roman;sans-serif"/>
                  <w:b w:val="false"/>
                  <w:color w:val="0000FF"/>
                  <w:sz w:val="20"/>
                  <w:u w:val="single"/>
                </w:rPr>
                <w:t>44</w:t>
              </w:r>
            </w:hyperlink>
          </w:p>
        </w:tc>
      </w:tr>
    </w:tbl>
    <w:p>
      <w:pPr>
        <w:pStyle w:val="TextBody"/>
        <w:spacing w:before="0" w:after="180"/>
        <w:ind w:left="0" w:right="0" w:firstLine="720"/>
        <w:jc w:val="right"/>
        <w:rPr/>
      </w:pPr>
      <w:r>
        <w:rPr/>
      </w:r>
    </w:p>
    <w:p>
      <w:pPr>
        <w:pStyle w:val="TextBody"/>
        <w:spacing w:before="0" w:after="180"/>
        <w:ind w:left="0" w:right="0" w:firstLine="720"/>
        <w:jc w:val="righ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720"/>
                        <w:jc w:val="both"/>
                        <w:rPr/>
                      </w:pPr>
                      <w:r>
                        <w:rPr/>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contains “forward-looking statements” regarding Ascend Wellness Holdings, Inc. and its subsidiaries (collectively referred to as “AWH,” “we,” “us,” “our,” or the “Company”).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the volatility of the market price and liquidity risks on shares of our Class A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the voting control exercised by holders of Class B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maintain key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continue to open new dispensaries and cultivation facilities as anticipated;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illegality of cannabis under federal law;</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state and federal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uncertainty regarding enforcement of cannabis laws;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restricted access to banking and other financial services;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constraints on marketing and risks related to our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unfavorable tax treatment for cannabis businesses;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security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infringement or misappropriation claims by third parties;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potential future U.S. Food and Drug Administration regulations;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enforce our contracts;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unfavorable publicity or consumer perception;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risks related to material acquisitions, dispositions and other strategic transactions;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agricultural and environmental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risks related to information technology systems;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product liability claims and other litigation to which we may be subjected;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risks related to the results of future clinical research;</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intense competition in the industry;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adverse changes in the wholesale and retail prices;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outbreaks of pandemic diseases, fear of such outbreaks or economic disturbances due to such outbreaks, particularly the impact of the COVID-19 pandemic;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general economic risks, such as the unemployment level, interest rates and inflation, and challenging global economic conditions.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list of factors above is illustrative and by no means exhaustive. Additional information regarding these risks and other risks and uncertainties we face is contained in our Annual Report on Form 10-K for the year ended December 31, 2021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information, there may be other factors that cause results not to be as anticipated, estimated, or intended.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965"/>
        <w:gridCol w:w="2211"/>
        <w:gridCol w:w="2229"/>
        <w:gridCol w:w="217"/>
        <w:gridCol w:w="816"/>
        <w:gridCol w:w="120"/>
        <w:gridCol w:w="109"/>
        <w:gridCol w:w="109"/>
        <w:gridCol w:w="109"/>
        <w:gridCol w:w="237"/>
        <w:gridCol w:w="892"/>
        <w:gridCol w:w="191"/>
      </w:tblGrid>
      <w:tr>
        <w:trPr/>
        <w:tc>
          <w:tcPr>
            <w:tcW w:w="2965"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1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155,481 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65,588 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receivable</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258,012 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239,656 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59,271 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43,018 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42,967 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19,572 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714,204 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723,436 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46,771 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debt, net</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27,940 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109,328 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117,395 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230,846 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223,981 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197,295 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546,959 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1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per share; 10,000 shares authorized, none issued and outstanding as of March 31, 2022 and December 31, 2021 (Note 12)</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$0.001 par value per share; 750,000 shares authorized; 174,392 and 171,521 shares issued and outstanding at March 31, 2022 and December 31, 2021, respectively (Note 12)</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$0.001 par value per share, 100 shares authorized; 65 issued and outstanding at March 31, 2022 and December 31, 2021 (Note 12)</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(186,249)</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5"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r>
      <w:tr>
        <w:trPr/>
        <w:tc>
          <w:tcPr>
            <w:tcW w:w="7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176,477 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714,204 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723,436 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03225"/>
                <wp:effectExtent l="0" t="0" r="0" b="0"/>
                <wp:wrapNone/>
                <wp:docPr id="6" name="Frame5"/>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ind w:left="0" w:right="0" w:firstLine="72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670"/>
        <w:gridCol w:w="2256"/>
        <w:gridCol w:w="2272"/>
        <w:gridCol w:w="209"/>
        <w:gridCol w:w="762"/>
        <w:gridCol w:w="116"/>
        <w:gridCol w:w="116"/>
        <w:gridCol w:w="116"/>
        <w:gridCol w:w="116"/>
        <w:gridCol w:w="209"/>
        <w:gridCol w:w="762"/>
        <w:gridCol w:w="116"/>
        <w:gridCol w:w="109"/>
        <w:gridCol w:w="109"/>
        <w:gridCol w:w="109"/>
        <w:gridCol w:w="158"/>
      </w:tblGrid>
      <w:tr>
        <w:trPr/>
        <w:tc>
          <w:tcPr>
            <w:tcW w:w="2670"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19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 except per share amounts)</w:t>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net</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(61,643)</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(36,470)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expense</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loss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(expense) income </w:t>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(7,107)</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loss per share attributable to Class A and Class B common stockholders — basic and diluted (Note 12)</w:t>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 — basic and diluted</w:t>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106,443 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19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0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225"/>
                <wp:effectExtent l="0" t="0" r="0" b="0"/>
                <wp:wrapNone/>
                <wp:docPr id="7" name="Frame6"/>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60"/>
        <w:ind w:left="0" w:right="0" w:firstLine="720"/>
        <w:jc w:val="center"/>
        <w:rPr/>
      </w:pPr>
      <w:r>
        <w:rPr/>
      </w:r>
    </w:p>
    <w:p>
      <w:pPr>
        <w:pStyle w:val="TextBody"/>
        <w:spacing w:before="0" w:after="60"/>
        <w:ind w:left="0" w:right="0" w:firstLine="72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711"/>
        <w:gridCol w:w="421"/>
        <w:gridCol w:w="422"/>
        <w:gridCol w:w="109"/>
        <w:gridCol w:w="109"/>
        <w:gridCol w:w="109"/>
        <w:gridCol w:w="109"/>
        <w:gridCol w:w="109"/>
        <w:gridCol w:w="109"/>
        <w:gridCol w:w="317"/>
        <w:gridCol w:w="317"/>
        <w:gridCol w:w="318"/>
        <w:gridCol w:w="109"/>
        <w:gridCol w:w="368"/>
        <w:gridCol w:w="368"/>
        <w:gridCol w:w="211"/>
        <w:gridCol w:w="109"/>
        <w:gridCol w:w="109"/>
        <w:gridCol w:w="109"/>
        <w:gridCol w:w="202"/>
        <w:gridCol w:w="435"/>
        <w:gridCol w:w="114"/>
        <w:gridCol w:w="109"/>
        <w:gridCol w:w="109"/>
        <w:gridCol w:w="109"/>
        <w:gridCol w:w="226"/>
        <w:gridCol w:w="849"/>
        <w:gridCol w:w="125"/>
        <w:gridCol w:w="109"/>
        <w:gridCol w:w="109"/>
        <w:gridCol w:w="109"/>
        <w:gridCol w:w="221"/>
        <w:gridCol w:w="855"/>
        <w:gridCol w:w="125"/>
        <w:gridCol w:w="109"/>
        <w:gridCol w:w="109"/>
        <w:gridCol w:w="109"/>
        <w:gridCol w:w="109"/>
        <w:gridCol w:w="109"/>
        <w:gridCol w:w="109"/>
        <w:gridCol w:w="109"/>
        <w:gridCol w:w="196"/>
        <w:gridCol w:w="736"/>
        <w:gridCol w:w="161"/>
      </w:tblGrid>
      <w:tr>
        <w:trPr/>
        <w:tc>
          <w:tcPr>
            <w:tcW w:w="7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6" w:type="dxa"/>
            <w:gridSpan w:val="2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420" w:type="dxa"/>
            <w:gridSpan w:val="6"/>
            <w:tcBorders/>
            <w:shd w:fill="auto" w:val="clear"/>
          </w:tcPr>
          <w:p>
            <w:pPr>
              <w:pStyle w:val="TableContents"/>
              <w:spacing w:before="0" w:after="283"/>
              <w:rPr>
                <w:sz w:val="4"/>
                <w:szCs w:val="4"/>
              </w:rPr>
            </w:pPr>
            <w:r>
              <w:rPr>
                <w:sz w:val="4"/>
                <w:szCs w:val="4"/>
              </w:rPr>
            </w:r>
          </w:p>
        </w:tc>
      </w:tr>
      <w:tr>
        <w:trPr/>
        <w:tc>
          <w:tcPr>
            <w:tcW w:w="1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6"/>
            <w:tcBorders/>
            <w:shd w:fill="auto" w:val="clear"/>
          </w:tcPr>
          <w:p>
            <w:pPr>
              <w:pStyle w:val="TableContents"/>
              <w:spacing w:before="0" w:after="283"/>
              <w:rPr>
                <w:sz w:val="4"/>
                <w:szCs w:val="4"/>
              </w:rPr>
            </w:pPr>
            <w:r>
              <w:rPr>
                <w:sz w:val="4"/>
                <w:szCs w:val="4"/>
              </w:rPr>
            </w:r>
          </w:p>
        </w:tc>
      </w:tr>
      <w:tr>
        <w:trPr/>
        <w:tc>
          <w:tcPr>
            <w:tcW w:w="1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171,586 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(186,249)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176,477 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14,306 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174,457 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371,916 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(214,064)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r>
        <w:trPr/>
        <w:tc>
          <w:tcPr>
            <w:tcW w:w="15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both"/>
        <w:rPr/>
      </w:pPr>
      <w:r>
        <w:rPr/>
      </w:r>
    </w:p>
    <w:tbl>
      <w:tblPr>
        <w:tblW w:w="10243" w:type="dxa"/>
        <w:jc w:val="left"/>
        <w:tblInd w:w="0" w:type="dxa"/>
        <w:tblCellMar>
          <w:top w:w="28" w:type="dxa"/>
          <w:left w:w="28" w:type="dxa"/>
          <w:bottom w:w="28" w:type="dxa"/>
          <w:right w:w="28" w:type="dxa"/>
        </w:tblCellMar>
      </w:tblPr>
      <w:tblGrid>
        <w:gridCol w:w="569"/>
        <w:gridCol w:w="263"/>
        <w:gridCol w:w="264"/>
        <w:gridCol w:w="456"/>
        <w:gridCol w:w="280"/>
        <w:gridCol w:w="281"/>
        <w:gridCol w:w="109"/>
        <w:gridCol w:w="109"/>
        <w:gridCol w:w="109"/>
        <w:gridCol w:w="109"/>
        <w:gridCol w:w="109"/>
        <w:gridCol w:w="109"/>
        <w:gridCol w:w="109"/>
        <w:gridCol w:w="275"/>
        <w:gridCol w:w="275"/>
        <w:gridCol w:w="276"/>
        <w:gridCol w:w="109"/>
        <w:gridCol w:w="109"/>
        <w:gridCol w:w="109"/>
        <w:gridCol w:w="210"/>
        <w:gridCol w:w="210"/>
        <w:gridCol w:w="211"/>
        <w:gridCol w:w="109"/>
        <w:gridCol w:w="109"/>
        <w:gridCol w:w="109"/>
        <w:gridCol w:w="207"/>
        <w:gridCol w:w="428"/>
        <w:gridCol w:w="116"/>
        <w:gridCol w:w="109"/>
        <w:gridCol w:w="109"/>
        <w:gridCol w:w="109"/>
        <w:gridCol w:w="196"/>
        <w:gridCol w:w="646"/>
        <w:gridCol w:w="109"/>
        <w:gridCol w:w="109"/>
        <w:gridCol w:w="109"/>
        <w:gridCol w:w="109"/>
        <w:gridCol w:w="208"/>
        <w:gridCol w:w="800"/>
        <w:gridCol w:w="118"/>
        <w:gridCol w:w="109"/>
        <w:gridCol w:w="109"/>
        <w:gridCol w:w="109"/>
        <w:gridCol w:w="109"/>
        <w:gridCol w:w="109"/>
        <w:gridCol w:w="109"/>
        <w:gridCol w:w="109"/>
        <w:gridCol w:w="196"/>
        <w:gridCol w:w="661"/>
        <w:gridCol w:w="154"/>
      </w:tblGrid>
      <w:tr>
        <w:trPr/>
        <w:tc>
          <w:tcPr>
            <w:tcW w:w="56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8" w:type="dxa"/>
            <w:gridSpan w:val="2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2021</w:t>
            </w:r>
          </w:p>
        </w:tc>
        <w:tc>
          <w:tcPr>
            <w:tcW w:w="1556" w:type="dxa"/>
            <w:gridSpan w:val="8"/>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A and Class B </w:t>
              <w:b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4" w:type="dxa"/>
            <w:gridSpan w:val="10"/>
            <w:tcBorders/>
            <w:shd w:fill="auto" w:val="clea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Historical LLC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equity-based payment awards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equity issued in litigation settlement</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(48,223)</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2021</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107,165 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(111,815)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3225"/>
                <wp:effectExtent l="0" t="0" r="0" b="0"/>
                <wp:wrapNone/>
                <wp:docPr id="8" name="Frame7"/>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77" w:type="dxa"/>
        <w:jc w:val="left"/>
        <w:tblInd w:w="0" w:type="dxa"/>
        <w:tblCellMar>
          <w:top w:w="28" w:type="dxa"/>
          <w:left w:w="28" w:type="dxa"/>
          <w:bottom w:w="28" w:type="dxa"/>
          <w:right w:w="28" w:type="dxa"/>
        </w:tblCellMar>
      </w:tblPr>
      <w:tblGrid>
        <w:gridCol w:w="2048"/>
        <w:gridCol w:w="1800"/>
        <w:gridCol w:w="1806"/>
        <w:gridCol w:w="211"/>
        <w:gridCol w:w="792"/>
        <w:gridCol w:w="117"/>
        <w:gridCol w:w="117"/>
        <w:gridCol w:w="117"/>
        <w:gridCol w:w="117"/>
        <w:gridCol w:w="211"/>
        <w:gridCol w:w="776"/>
        <w:gridCol w:w="165"/>
      </w:tblGrid>
      <w:tr>
        <w:trPr/>
        <w:tc>
          <w:tcPr>
            <w:tcW w:w="2048"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(48,223)</w:t>
            </w:r>
          </w:p>
        </w:tc>
        <w:tc>
          <w:tcPr>
            <w:tcW w:w="16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loss to net cash used in operating activities:</w:t>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 expense</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in litigation settlement</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assets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of acquisitions</w:t>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16,903 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capital assets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notes receivable</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Collection of notes receivable</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businesses, net of cash acquired</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(24,890)</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(35,203)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debt</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auto" w:val="clear"/>
            <w:vAlign w:val="center"/>
          </w:tcPr>
          <w:p>
            <w:pPr>
              <w:pStyle w:val="TableContents"/>
              <w:spacing w:before="0" w:after="283"/>
              <w:rPr>
                <w:sz w:val="4"/>
                <w:szCs w:val="4"/>
              </w:rPr>
            </w:pPr>
            <w:r>
              <w:rPr>
                <w:sz w:val="4"/>
                <w:szCs w:val="4"/>
              </w:rPr>
            </w:r>
          </w:p>
        </w:tc>
        <w:tc>
          <w:tcPr>
            <w:tcW w:w="112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10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155,481 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58,097 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143,797 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63,279 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TextBody"/>
        <w:spacing w:before="0" w:after="180"/>
        <w:ind w:left="0" w:right="0" w:firstLine="720"/>
        <w:jc w:val="both"/>
        <w:rPr/>
      </w:pPr>
      <w:r>
        <w:rPr/>
      </w:r>
    </w:p>
    <w:p>
      <w:pPr>
        <w:pStyle w:val="TextBody"/>
        <w:spacing w:before="0" w:after="180"/>
        <w:ind w:left="0" w:right="0" w:firstLine="720"/>
        <w:jc w:val="both"/>
        <w:rPr/>
      </w:pPr>
      <w:r>
        <w:rPr/>
      </w:r>
    </w:p>
    <w:p>
      <w:pPr>
        <w:pStyle w:val="TextBody"/>
        <w:spacing w:before="0" w:after="180"/>
        <w:ind w:left="0" w:right="0" w:firstLine="720"/>
        <w:jc w:val="both"/>
        <w:rPr/>
      </w:pPr>
      <w:r>
        <w:rPr/>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225"/>
                <wp:effectExtent l="0" t="0" r="0" b="0"/>
                <wp:wrapNone/>
                <wp:docPr id="9" name="Frame8"/>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(CONTINUED, UNAUDITED)</w:t>
      </w:r>
    </w:p>
    <w:p>
      <w:pPr>
        <w:pStyle w:val="TextBody"/>
        <w:spacing w:before="0" w:after="0"/>
        <w:jc w:val="center"/>
        <w:rPr/>
      </w:pPr>
      <w:r>
        <w:rPr/>
      </w:r>
    </w:p>
    <w:tbl>
      <w:tblPr>
        <w:tblW w:w="6956" w:type="dxa"/>
        <w:jc w:val="left"/>
        <w:tblInd w:w="0" w:type="dxa"/>
        <w:tblCellMar>
          <w:top w:w="28" w:type="dxa"/>
          <w:left w:w="28" w:type="dxa"/>
          <w:bottom w:w="28" w:type="dxa"/>
          <w:right w:w="28" w:type="dxa"/>
        </w:tblCellMar>
      </w:tblPr>
      <w:tblGrid>
        <w:gridCol w:w="1568"/>
        <w:gridCol w:w="1379"/>
        <w:gridCol w:w="1388"/>
        <w:gridCol w:w="245"/>
        <w:gridCol w:w="697"/>
        <w:gridCol w:w="136"/>
        <w:gridCol w:w="136"/>
        <w:gridCol w:w="136"/>
        <w:gridCol w:w="136"/>
        <w:gridCol w:w="245"/>
        <w:gridCol w:w="697"/>
        <w:gridCol w:w="193"/>
      </w:tblGrid>
      <w:tr>
        <w:trPr/>
        <w:tc>
          <w:tcPr>
            <w:tcW w:w="15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138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incurred but not yet paid</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withheld under equity-based compensation plans, net</w:t>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03225"/>
                <wp:effectExtent l="0" t="0" r="0" b="0"/>
                <wp:wrapNone/>
                <wp:docPr id="10" name="Frame9"/>
                <a:graphic xmlns:a="http://schemas.openxmlformats.org/drawingml/2006/main">
                  <a:graphicData uri="http://schemas.microsoft.com/office/word/2010/wordprocessingShape">
                    <wps:wsp>
                      <wps:cNvSpPr txBox="1"/>
                      <wps:spPr>
                        <a:xfrm>
                          <a:off x="0" y="0"/>
                          <a:ext cx="6480175" cy="40322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 condensed consolidated financial statements.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 THE COMPANY AND NATURE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Ascend Wellness Holdings, Inc., which operates through its subsidiaries (collectively referred to as “AWH,” “Ascend,” “we,” “us,” “our,” or the “Company”), is a multi-state operator in the United States cannabis industry. AWH owns, manages, and operates cannabis cultivation facilities and dispensaries in several states across the United States, including Illinois, Michigan, Ohio, Massachusetts, New Jersey, and Pennsylvania. AWH is headquartered in New York, New York.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Conversion,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On May 4, 2021, the Company completed an Initial Public Offering (“IPO”) of its Class A common stock. See Note 12, “Stockholders’ Equity,” for additional details.</w:t>
      </w:r>
    </w:p>
    <w:p>
      <w:pPr>
        <w:pStyle w:val="TextBody"/>
        <w:spacing w:lineRule="auto" w:line="288" w:before="0" w:after="180"/>
        <w:ind w:left="0" w:right="0" w:firstLine="720"/>
        <w:jc w:val="both"/>
        <w:rPr/>
      </w:pPr>
      <w:r>
        <w:rPr>
          <w:rFonts w:ascii="Times New Roman;sans-serif" w:hAnsi="Times New Roman;sans-serif"/>
          <w:b w:val="false"/>
          <w:color w:val="000000"/>
          <w:sz w:val="20"/>
        </w:rPr>
        <w:t>Shares of the Company’s Class A common stock are listed on the Canadian Securities Exchange (the “CSE”) under the ticker symbol “AAWH.U” and are quoted on the OTCQX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Best Market (the “OTCQX”) under the symbol “AAWH.” We are an emerging growth company under federal securities laws and as such we are able to elect to follow scaled disclosure requirements for this filing.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2. BASIS OF PRESENTATION AND SIGNIFICANT ACCOUNTING POLICIES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2021 (the “Annual Report”), as filed with the United States Securities and Exchange Commission (“SEC”) and with the relevant Canadian securities regulatory authorities under its profile on the System for Electronic Document Analysis and Retrieval (“SEDAR”). Except as noted below, there have been no material changes to the Company’s significant accounting policies and estimates during the three months ended March 31, 2022.</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March 31, 2022 and December 31, 2021, as well as a net loss for the three months ended March 31, 2022 and 2021, and negative cash flows from operating activities during the three months ended March 31, 2022 and 2021,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Cash and Cash Equivalents and Restricted Cash</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we did not hold significant restricted cash or cash equivalents.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we had no transfers of assets or liabilities between any of the hierarchy levels.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Basic and Diluted Loss per Share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the three months ended March 31, 2022 and 2021 have been computed on the basis of treating the historical common unit equivalents previously outstanding as shares of Class A common stock, as such historical units converted into shares of Class A common stock in the Conversion.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that would have been outstanding if all potential common shares had been issued and were dilutive. However, potentially dilutive securities are excluded from the computation of diluted EPS to the extent that their effect is anti-dilutive. Potential dilutive securities in the current year include incremental shares of common stock issuable upon the exercise of warrants, unvested restricted stock awards, unvested restricted stock units, and outstanding stock options. Potential dilutive securities in the prior year include incremental shares of common stock issuable upon the exercise of warrants, unvested restricted stock awards, and the conversion of convertible notes. At March 31, 2022 and 2021, 11,447 and 47,187 shares of common stock equivalents, respectively, were excluded from the calculation of diluted EPS because their inclusion would have been anti-dilutive.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In August 2020, the Financial Accounting Standards Board (“FASB”) issued Accounting Standards Update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 Accounting for Convertible Instruments and Contracts in an Entity’s Own Equity</w:t>
      </w:r>
      <w:r>
        <w:rPr>
          <w:rFonts w:ascii="Times New Roman;sans-serif" w:hAnsi="Times New Roman;sans-serif"/>
          <w:b w:val="false"/>
          <w:color w:val="000000"/>
          <w:sz w:val="20"/>
        </w:rPr>
        <w:t>, 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ASU 2020-06 became effective for us on January 1, 2022 and did not have a significant impact on our consolidated financial statements.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Modification or Exchanges of Freestanding Equity-Classified Written Call Options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In May 2021, the FASB issued ASU 2021-04, </w:t>
      </w:r>
      <w:r>
        <w:rPr>
          <w:rFonts w:ascii="Times New Roman;sans-serif" w:hAnsi="Times New Roman;sans-serif"/>
          <w:b w:val="false"/>
          <w:i/>
          <w:color w:val="000000"/>
          <w:sz w:val="20"/>
        </w:rPr>
        <w:t xml:space="preserve">Earnings Per Share (Topic 260), Debt – Modifications and Extinguishments (Subtopic 470-50), Compensation – Stock Compensation (Topic 718), and Derivatives and Hedging – Contracts in an Entity’s Own Equity (Subtopic 815-40): Issuer’s Accounting For Certain Modifications or Exchanges of Freestanding Equity-Classified Written Call Options, </w:t>
      </w:r>
      <w:r>
        <w:rPr>
          <w:rFonts w:ascii="Times New Roman;sans-serif" w:hAnsi="Times New Roman;sans-serif"/>
          <w:b w:val="false"/>
          <w:color w:val="000000"/>
          <w:sz w:val="20"/>
        </w:rPr>
        <w:t>(“ASU 2021-04”). ASU 2021-04 provides clarification and reduces diversity in an issuer’s accounting for certain modifications or exchanges of freestanding equity-classified written call options, such as warrants, that remain equity classified after modification or exchange. ASU 2021-04 became effective for us on January 1, 2022 and did not have a significant impact on our consolidated financial statements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standards have been recently issued by the FASB. Pronouncements that are not applicable to the Company or where it has been determined do not have a significant impact on us have been excluded herein.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Financial Instruments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In June 2016, the FASB issued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(“ASU 2016-13”). ASU 2016-13 replaces the existing guidance surrounding measurement and recognition of credit losses on financial assets 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ASU 2019-05, </w:t>
      </w:r>
      <w:r>
        <w:rPr>
          <w:rFonts w:ascii="Times New Roman;sans-serif" w:hAnsi="Times New Roman;sans-serif"/>
          <w:b w:val="false"/>
          <w:i/>
          <w:color w:val="000000"/>
          <w:sz w:val="20"/>
        </w:rPr>
        <w:t>Financial Instruments – Credit Losses (Topic 326): Targeted Transition Relief</w:t>
      </w:r>
      <w:r>
        <w:rPr>
          <w:rFonts w:ascii="Times New Roman;sans-serif" w:hAnsi="Times New Roman;sans-serif"/>
          <w:b w:val="false"/>
          <w:color w:val="000000"/>
          <w:sz w:val="20"/>
        </w:rPr>
        <w:t xml:space="preserve">,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 </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ASU 2019-11, </w:t>
      </w:r>
      <w:r>
        <w:rPr>
          <w:rFonts w:ascii="Times New Roman;sans-serif" w:hAnsi="Times New Roman;sans-serif"/>
          <w:b w:val="false"/>
          <w:i/>
          <w:color w:val="000000"/>
          <w:sz w:val="20"/>
        </w:rPr>
        <w:t>Codification Improvements to Topic 326, Financial Instruments – Credit Losses</w:t>
      </w:r>
      <w:r>
        <w:rPr>
          <w:rFonts w:ascii="Times New Roman;sans-serif" w:hAnsi="Times New Roman;sans-serif"/>
          <w:b w:val="false"/>
          <w:color w:val="000000"/>
          <w:sz w:val="20"/>
        </w:rPr>
        <w:t>, was issued in November 2019 to clarify, improve, and amend certain aspects of ASU 2016-13, such as disclosures related to accrued interest receivables and the estimation of credit losses associated with financial assets secured by collateral.</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ASU 2020-03, </w:t>
      </w:r>
      <w:r>
        <w:rPr>
          <w:rFonts w:ascii="Times New Roman;sans-serif" w:hAnsi="Times New Roman;sans-serif"/>
          <w:b w:val="false"/>
          <w:i/>
          <w:color w:val="000000"/>
          <w:sz w:val="20"/>
        </w:rPr>
        <w:t>Codification Improvements to Financial Instruments</w:t>
      </w:r>
      <w:r>
        <w:rPr>
          <w:rFonts w:ascii="Times New Roman;sans-serif" w:hAnsi="Times New Roman;sans-serif"/>
          <w:b w:val="false"/>
          <w:color w:val="000000"/>
          <w:sz w:val="20"/>
        </w:rPr>
        <w:t xml:space="preserve">,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Financial Statements.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amendments related to ASU 2019-05 and ASU 2016-13 will be adopted in conjunction with ASU 2016-13. ASU 2016-13 and its related ASUs are effective for us beginning January 1, 2023. We are currently evaluating the impact of this guidance on our consolidated financial statements.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Reference Rate Reform</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rFonts w:ascii="Times New Roman;sans-serif" w:hAnsi="Times New Roman;sans-serif"/>
          <w:b w:val="false"/>
          <w:color w:val="000000"/>
          <w:sz w:val="20"/>
        </w:rPr>
        <w:t>, which provides optional expedients and exceptions for applying U.S. GAAP to contracts, hedging relationships, and other transactions that reference LIBOR or another reference rate expected to be discontinued because of reference rate reform. This guidance was effective upon issuance as of March 12, 2020 and may be adopted as reference rate reform activities occur through December 31, 2022. We have not yet applied any of the expedients and exceptions and do not expect this guidance to have a material impact on our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3. REPORTABLE SEGMENTS AND 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 </w:t>
      </w:r>
    </w:p>
    <w:tbl>
      <w:tblPr>
        <w:tblW w:w="6493" w:type="dxa"/>
        <w:jc w:val="left"/>
        <w:tblInd w:w="0" w:type="dxa"/>
        <w:tblCellMar>
          <w:top w:w="28" w:type="dxa"/>
          <w:left w:w="28" w:type="dxa"/>
          <w:bottom w:w="28" w:type="dxa"/>
          <w:right w:w="28" w:type="dxa"/>
        </w:tblCellMar>
      </w:tblPr>
      <w:tblGrid>
        <w:gridCol w:w="1168"/>
        <w:gridCol w:w="1026"/>
        <w:gridCol w:w="1030"/>
        <w:gridCol w:w="244"/>
        <w:gridCol w:w="835"/>
        <w:gridCol w:w="126"/>
        <w:gridCol w:w="126"/>
        <w:gridCol w:w="126"/>
        <w:gridCol w:w="126"/>
        <w:gridCol w:w="244"/>
        <w:gridCol w:w="835"/>
        <w:gridCol w:w="126"/>
        <w:gridCol w:w="109"/>
        <w:gridCol w:w="109"/>
        <w:gridCol w:w="109"/>
        <w:gridCol w:w="154"/>
      </w:tblGrid>
      <w:tr>
        <w:trPr/>
        <w:tc>
          <w:tcPr>
            <w:tcW w:w="1168"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revenue</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inter-company revenue</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 net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discounts were not material during the three months ended March 31, 2022 and 2021. The liability related to the loyalty program we offer dispensary customers at certain locations was $460 and $518 at March 31, 2022 and December 31, 2021, respectively, and is included in “Other current liabilities” on the accompanying unaudited Condensed Consolidated Balance Sheets. As of March 31, 2022 and December 31, 2021, the Company recorded $625 and $374, respectively, in allowance for doubtful accounts. Write-offs were not significant during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The Company has determined that the acquisitions discussed below are considered business combinations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xml:space="preserve">, (“ASC Topic 805”) and are accounted for by applying the acquisition method, whereby the assets acquired and the liabilities assumed are recorded at their fair values with any excess of the aggregate consideration over the fair values of the identifiable net assets allocated to goodwill. Operating results are included in the Financial Statements from the date of the acquisition.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allocates the purchase price of each of its acquisitions to the assets acquired and liabilities assumed at fair value. 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2021 Acquisitions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May 5, 2021 the Company completed the acquisition of the parent company of Hemma, LLC (“Hemma”), the owner of a medical cultivation site in Ohio. Effective October 1, 2021, the Company completed the acquisition of BCCO, LLC (“BCCO”), a medical dispensary license holder in Ohio. Additionally, effective December 22, 2021, the Company completed the acquisition of Ohio Cannabis Clinic, LLC (“OCC”), a medical dispensary license holder in Ohio.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we recorded a measurement period purchase accounting adjustment of $51 related to the OCC acquisition for the final working capital adjustment, with a related impact to goodwill.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Financial and Pro Forma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revenue and net (loss) income related to Hemma, BCCO, and OCC that is included in our consolidated results for the three months ended March 31, 2022. </w:t>
      </w:r>
    </w:p>
    <w:tbl>
      <w:tblPr>
        <w:tblW w:w="5104" w:type="dxa"/>
        <w:jc w:val="left"/>
        <w:tblInd w:w="0" w:type="dxa"/>
        <w:tblCellMar>
          <w:top w:w="28" w:type="dxa"/>
          <w:left w:w="28" w:type="dxa"/>
          <w:bottom w:w="28" w:type="dxa"/>
          <w:right w:w="28" w:type="dxa"/>
        </w:tblCellMar>
      </w:tblPr>
      <w:tblGrid>
        <w:gridCol w:w="554"/>
        <w:gridCol w:w="487"/>
        <w:gridCol w:w="488"/>
        <w:gridCol w:w="211"/>
        <w:gridCol w:w="466"/>
        <w:gridCol w:w="109"/>
        <w:gridCol w:w="109"/>
        <w:gridCol w:w="109"/>
        <w:gridCol w:w="109"/>
        <w:gridCol w:w="211"/>
        <w:gridCol w:w="616"/>
        <w:gridCol w:w="109"/>
        <w:gridCol w:w="109"/>
        <w:gridCol w:w="109"/>
        <w:gridCol w:w="109"/>
        <w:gridCol w:w="211"/>
        <w:gridCol w:w="616"/>
        <w:gridCol w:w="109"/>
        <w:gridCol w:w="109"/>
        <w:gridCol w:w="154"/>
      </w:tblGrid>
      <w:tr>
        <w:trPr/>
        <w:tc>
          <w:tcPr>
            <w:tcW w:w="55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Hemma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BCCO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OCC</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 forma financial information is not presented for Hemma, BCCO, or OCC as such results are immaterial, individually and in aggregate, to both the current and prior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as follows:</w:t>
      </w:r>
    </w:p>
    <w:tbl>
      <w:tblPr>
        <w:tblW w:w="5487" w:type="dxa"/>
        <w:jc w:val="left"/>
        <w:tblInd w:w="0" w:type="dxa"/>
        <w:tblCellMar>
          <w:top w:w="28" w:type="dxa"/>
          <w:left w:w="28" w:type="dxa"/>
          <w:bottom w:w="28" w:type="dxa"/>
          <w:right w:w="28" w:type="dxa"/>
        </w:tblCellMar>
      </w:tblPr>
      <w:tblGrid>
        <w:gridCol w:w="706"/>
        <w:gridCol w:w="621"/>
        <w:gridCol w:w="623"/>
        <w:gridCol w:w="292"/>
        <w:gridCol w:w="998"/>
        <w:gridCol w:w="150"/>
        <w:gridCol w:w="109"/>
        <w:gridCol w:w="109"/>
        <w:gridCol w:w="109"/>
        <w:gridCol w:w="344"/>
        <w:gridCol w:w="1175"/>
        <w:gridCol w:w="251"/>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65,588 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compensation expense capitalized to inventory was $13,134 and $6,363 during the three months ended March 31, 2022 and 2021, respectively. At March 31, 2022 and December 31, 2021, $12,723 and $8,571, respectively, of compensation expense remained capitalized as part of inventory.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6. NOTES RECEIVABLE</w:t>
      </w:r>
    </w:p>
    <w:tbl>
      <w:tblPr>
        <w:tblW w:w="6504" w:type="dxa"/>
        <w:jc w:val="left"/>
        <w:tblInd w:w="0" w:type="dxa"/>
        <w:tblCellMar>
          <w:top w:w="28" w:type="dxa"/>
          <w:left w:w="28" w:type="dxa"/>
          <w:bottom w:w="28" w:type="dxa"/>
          <w:right w:w="28" w:type="dxa"/>
        </w:tblCellMar>
      </w:tblPr>
      <w:tblGrid>
        <w:gridCol w:w="1075"/>
        <w:gridCol w:w="945"/>
        <w:gridCol w:w="949"/>
        <w:gridCol w:w="324"/>
        <w:gridCol w:w="948"/>
        <w:gridCol w:w="167"/>
        <w:gridCol w:w="109"/>
        <w:gridCol w:w="109"/>
        <w:gridCol w:w="109"/>
        <w:gridCol w:w="380"/>
        <w:gridCol w:w="1110"/>
        <w:gridCol w:w="279"/>
      </w:tblGrid>
      <w:tr>
        <w:trPr/>
        <w:tc>
          <w:tcPr>
            <w:tcW w:w="107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MMNY - working capital loan</w:t>
            </w:r>
            <w:r>
              <w:rPr>
                <w:rFonts w:ascii="Times New Roman;sans-serif" w:hAnsi="Times New Roman;sans-serif"/>
                <w:b w:val="false"/>
                <w:color w:val="000000"/>
                <w:sz w:val="13"/>
              </w:rPr>
              <w:t>(1)</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Marichron - note receivable</w:t>
            </w:r>
            <w:r>
              <w:rPr>
                <w:rFonts w:ascii="Times New Roman;sans-serif" w:hAnsi="Times New Roman;sans-serif"/>
                <w:b w:val="false"/>
                <w:color w:val="000000"/>
                <w:sz w:val="13"/>
              </w:rPr>
              <w:t>(2)</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Marichron - working capital loan</w:t>
            </w:r>
            <w:r>
              <w:rPr>
                <w:rFonts w:ascii="Times New Roman;sans-serif" w:hAnsi="Times New Roman;sans-serif"/>
                <w:b w:val="false"/>
                <w:color w:val="000000"/>
                <w:sz w:val="13"/>
              </w:rPr>
              <w:t>(2)</w:t>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(3)</w:t>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three business days following such termination. Additional borrowing requests are at the Company’s discretion. </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 April 2019, the Company issued a $1,500 promissory note to Marichron Pharma LLC (“Marichron”), an unrelated third party, with a stated interest rate of 12% per year. The Company also entered into a working capital line of credit with Marichron, allowing for maximum borrowings of $1,000. The promissory note and working capital line of credit were issued in conjunction with a unit purchase option agreement that the parties entered into during 2019 and were issued to provide Marichron with additional funding for operations. The note, as amended, matures at the earlier of the definitive closing of the unit purchase option agreement or December 31, 2022. The Company expects to submit a license transfer application to the state during 2022 and may settle the outstanding balances as part of the purchase price at closing following state approval.</w:t>
      </w:r>
    </w:p>
    <w:p>
      <w:pPr>
        <w:pStyle w:val="TextBody"/>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In November 2021, the Company issued a bridge loan to an unrelated third party that provides for maximum borrowings of up to $16,000 with an interest rate of 9% per annum. Repayment is due at maturity in November 2023 or upon an event of default (as defined in the bridge loan agreement). The Company has full discretion to approve additional borrowing requests under the agreement.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 total of $4,299 is outstanding at March 31, 2022 related to a promissory note issued to the owner of a property the Company is leasing, of which $158 and $4,141 is included in “Other current assets” and “Other noncurrent assets,” respectively, on the unaudited Condensed Consolidated Balance Sheet. At December 31, 2021, $4,337 was outstanding, of which $156 and $4,181 is included in “Other current assets” and “Other noncurrent assets,” respectively, on the unaudited Condensed Consolidated Balance Sheet.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identified any collectability concerns as of March 31, 2022 for the amounts due under notes receivable. No impairment losses on notes receivable were recognized during the three months ended March 31, 2022 or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7. PROPERTY AND EQUIPMENT</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consists of the following:</w:t>
      </w:r>
    </w:p>
    <w:tbl>
      <w:tblPr>
        <w:tblW w:w="6415" w:type="dxa"/>
        <w:jc w:val="left"/>
        <w:tblInd w:w="0" w:type="dxa"/>
        <w:tblCellMar>
          <w:top w:w="28" w:type="dxa"/>
          <w:left w:w="28" w:type="dxa"/>
          <w:bottom w:w="28" w:type="dxa"/>
          <w:right w:w="28" w:type="dxa"/>
        </w:tblCellMar>
      </w:tblPr>
      <w:tblGrid>
        <w:gridCol w:w="1040"/>
        <w:gridCol w:w="916"/>
        <w:gridCol w:w="923"/>
        <w:gridCol w:w="265"/>
        <w:gridCol w:w="1038"/>
        <w:gridCol w:w="137"/>
        <w:gridCol w:w="109"/>
        <w:gridCol w:w="109"/>
        <w:gridCol w:w="109"/>
        <w:gridCol w:w="313"/>
        <w:gridCol w:w="1228"/>
        <w:gridCol w:w="228"/>
      </w:tblGrid>
      <w:tr>
        <w:trPr/>
        <w:tc>
          <w:tcPr>
            <w:tcW w:w="104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gross</w:t>
            </w:r>
          </w:p>
        </w:tc>
        <w:tc>
          <w:tcPr>
            <w:tcW w:w="13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252,451 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21,329 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226,129 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239,656 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depreciation expense was $5,378 and $2,951 during the three months ended March 31, 2022 and 2021, respectively. Total depreciation expense capitalized to inventory was $4,208 and $1,956 during the three months ended March 31, 2022 and 2021, respectively. At March 31, 2022 and December 31, 2021, $3,541 and $2,070, respectively, of depreciation expense remained capitalized as part of inventory.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recognized a loss of $946 related to the sale of a property, which is included in “General and administrative expenses” on the unaudited Condensed Consolidated Statement of Operations, and wrote-off $385 of accumulated depreciation.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8. VARIABLE INTEREST ENTITIES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variable interest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about the Company’s consolidated VIE that is included in the unaudited Condensed Consolidated Balance Sheets as of March 31, 2022 and December 31, 2021 and in the unaudited Condensed Consolidated Statements of Operations for the three months ended March 31, 2022 and 2021. This entity was determined to be a VIE since the Company possesses the power to direct the significant activities of the VIE and has the obligation to absorb losses or the right to receive benefits from the VIE.</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tbl>
      <w:tblPr>
        <w:tblW w:w="5765" w:type="dxa"/>
        <w:jc w:val="left"/>
        <w:tblInd w:w="0" w:type="dxa"/>
        <w:tblCellMar>
          <w:top w:w="28" w:type="dxa"/>
          <w:left w:w="28" w:type="dxa"/>
          <w:bottom w:w="28" w:type="dxa"/>
          <w:right w:w="28" w:type="dxa"/>
        </w:tblCellMar>
      </w:tblPr>
      <w:tblGrid>
        <w:gridCol w:w="729"/>
        <w:gridCol w:w="640"/>
        <w:gridCol w:w="641"/>
        <w:gridCol w:w="265"/>
        <w:gridCol w:w="1038"/>
        <w:gridCol w:w="137"/>
        <w:gridCol w:w="109"/>
        <w:gridCol w:w="109"/>
        <w:gridCol w:w="109"/>
        <w:gridCol w:w="317"/>
        <w:gridCol w:w="1244"/>
        <w:gridCol w:w="164"/>
        <w:gridCol w:w="109"/>
        <w:gridCol w:w="154"/>
      </w:tblGrid>
      <w:tr>
        <w:trPr/>
        <w:tc>
          <w:tcPr>
            <w:tcW w:w="729"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Ascend Illinois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263" w:type="dxa"/>
            <w:gridSpan w:val="2"/>
            <w:tcBorders/>
            <w:shd w:fill="auto" w:val="clea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171,566 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4235" w:type="dxa"/>
        <w:jc w:val="left"/>
        <w:tblInd w:w="0" w:type="dxa"/>
        <w:tblCellMar>
          <w:top w:w="28" w:type="dxa"/>
          <w:left w:w="28" w:type="dxa"/>
          <w:bottom w:w="28" w:type="dxa"/>
          <w:right w:w="28" w:type="dxa"/>
        </w:tblCellMar>
      </w:tblPr>
      <w:tblGrid>
        <w:gridCol w:w="429"/>
        <w:gridCol w:w="377"/>
        <w:gridCol w:w="378"/>
        <w:gridCol w:w="244"/>
        <w:gridCol w:w="835"/>
        <w:gridCol w:w="126"/>
        <w:gridCol w:w="126"/>
        <w:gridCol w:w="126"/>
        <w:gridCol w:w="126"/>
        <w:gridCol w:w="244"/>
        <w:gridCol w:w="835"/>
        <w:gridCol w:w="126"/>
        <w:gridCol w:w="109"/>
        <w:gridCol w:w="154"/>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Ascend Illinois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9. INTANGIBLE ASSETS AND GOODWILL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Intangible Assets</w:t>
      </w:r>
    </w:p>
    <w:tbl>
      <w:tblPr>
        <w:tblW w:w="6011" w:type="dxa"/>
        <w:jc w:val="left"/>
        <w:tblInd w:w="0" w:type="dxa"/>
        <w:tblCellMar>
          <w:top w:w="28" w:type="dxa"/>
          <w:left w:w="28" w:type="dxa"/>
          <w:bottom w:w="28" w:type="dxa"/>
          <w:right w:w="28" w:type="dxa"/>
        </w:tblCellMar>
      </w:tblPr>
      <w:tblGrid>
        <w:gridCol w:w="896"/>
        <w:gridCol w:w="788"/>
        <w:gridCol w:w="790"/>
        <w:gridCol w:w="292"/>
        <w:gridCol w:w="998"/>
        <w:gridCol w:w="150"/>
        <w:gridCol w:w="109"/>
        <w:gridCol w:w="109"/>
        <w:gridCol w:w="109"/>
        <w:gridCol w:w="344"/>
        <w:gridCol w:w="1175"/>
        <w:gridCol w:w="251"/>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 and permits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In-place leases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intangible assets, net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pPr>
      <w:r>
        <w:rPr>
          <w:rFonts w:ascii="Times New Roman;sans-serif" w:hAnsi="Times New Roman;sans-serif"/>
          <w:b w:val="false"/>
          <w:color w:val="000000"/>
          <w:sz w:val="20"/>
        </w:rPr>
        <w:t>Amortization expense was $1,970 and $1,685 during the three</w:t>
      </w:r>
      <w:r>
        <w:rPr>
          <w:color w:val="070707"/>
        </w:rPr>
        <w:t xml:space="preserve"> </w:t>
      </w:r>
      <w:r>
        <w:rPr>
          <w:rFonts w:ascii="Times New Roman;sans-serif" w:hAnsi="Times New Roman;sans-serif"/>
          <w:b w:val="false"/>
          <w:color w:val="070707"/>
          <w:sz w:val="20"/>
        </w:rPr>
        <w:t xml:space="preserve">months ended March 31, 2022 and 2021, respectively. Total amortization expense capitalized to inventory was $408 and $261 during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 xml:space="preserve">months ended March 31, 2022 and 2021, respectively. </w:t>
      </w:r>
      <w:r>
        <w:rPr>
          <w:rFonts w:ascii="Times New Roman;sans-serif" w:hAnsi="Times New Roman;sans-serif"/>
          <w:b w:val="false"/>
          <w:color w:val="000000"/>
          <w:sz w:val="20"/>
        </w:rPr>
        <w:t xml:space="preserve">At March 31, 2022 and December 31, 2021, $702 and $502, respectively, of amortization expense remained capitalized as part of inventory. </w:t>
      </w:r>
    </w:p>
    <w:p>
      <w:pPr>
        <w:pStyle w:val="TextBody"/>
        <w:spacing w:lineRule="auto" w:line="288" w:before="0" w:after="180"/>
        <w:ind w:left="0" w:right="0" w:firstLine="720"/>
        <w:jc w:val="both"/>
        <w:rPr/>
      </w:pPr>
      <w:r>
        <w:rPr>
          <w:rFonts w:ascii="Times New Roman;sans-serif" w:hAnsi="Times New Roman;sans-serif"/>
          <w:b w:val="false"/>
          <w:color w:val="070707"/>
          <w:sz w:val="20"/>
        </w:rPr>
        <w:t xml:space="preserve">No impairment indicators were noted during the </w:t>
      </w:r>
      <w:r>
        <w:rPr>
          <w:rFonts w:ascii="Times New Roman;sans-serif" w:hAnsi="Times New Roman;sans-serif"/>
          <w:b w:val="false"/>
          <w:color w:val="000000"/>
          <w:sz w:val="20"/>
        </w:rPr>
        <w:t>three</w:t>
      </w:r>
      <w:r>
        <w:rPr>
          <w:color w:val="070707"/>
        </w:rPr>
        <w:t xml:space="preserve"> </w:t>
      </w:r>
      <w:r>
        <w:rPr>
          <w:rFonts w:ascii="Times New Roman;sans-serif" w:hAnsi="Times New Roman;sans-serif"/>
          <w:b w:val="false"/>
          <w:color w:val="070707"/>
          <w:sz w:val="20"/>
        </w:rPr>
        <w:t>months ended March 31, 2022 or 2021 and, as such, w</w:t>
      </w:r>
      <w:r>
        <w:rPr>
          <w:rFonts w:ascii="Times New Roman;sans-serif" w:hAnsi="Times New Roman;sans-serif"/>
          <w:b w:val="false"/>
          <w:color w:val="000000"/>
          <w:sz w:val="20"/>
        </w:rPr>
        <w:t xml:space="preserve">e did not record any impairment charges during either period.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Goodwill</w:t>
      </w:r>
    </w:p>
    <w:tbl>
      <w:tblPr>
        <w:tblW w:w="5012" w:type="dxa"/>
        <w:jc w:val="left"/>
        <w:tblInd w:w="0" w:type="dxa"/>
        <w:tblCellMar>
          <w:top w:w="28" w:type="dxa"/>
          <w:left w:w="28" w:type="dxa"/>
          <w:bottom w:w="28" w:type="dxa"/>
          <w:right w:w="28" w:type="dxa"/>
        </w:tblCellMar>
      </w:tblPr>
      <w:tblGrid>
        <w:gridCol w:w="1303"/>
        <w:gridCol w:w="1146"/>
        <w:gridCol w:w="1150"/>
        <w:gridCol w:w="109"/>
        <w:gridCol w:w="109"/>
        <w:gridCol w:w="109"/>
        <w:gridCol w:w="211"/>
        <w:gridCol w:w="721"/>
        <w:gridCol w:w="154"/>
      </w:tblGrid>
      <w:tr>
        <w:trPr/>
        <w:tc>
          <w:tcPr>
            <w:tcW w:w="1303"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Adjustments to purchase price allocation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4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During the three months ended March 31, 2022, we recorded measurement period purchase accounting adjustments related to one of our 2021 acquisitions. See Note 4, “Acquisitions,” 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10. LEASES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lease liabilities and their classification on our unaudited Condensed Consolidated Balance Sheets were as follows:</w:t>
      </w:r>
    </w:p>
    <w:tbl>
      <w:tblPr>
        <w:tblW w:w="9243" w:type="dxa"/>
        <w:jc w:val="left"/>
        <w:tblInd w:w="0" w:type="dxa"/>
        <w:tblCellMar>
          <w:top w:w="28" w:type="dxa"/>
          <w:left w:w="28" w:type="dxa"/>
          <w:bottom w:w="28" w:type="dxa"/>
          <w:right w:w="28" w:type="dxa"/>
        </w:tblCellMar>
      </w:tblPr>
      <w:tblGrid>
        <w:gridCol w:w="685"/>
        <w:gridCol w:w="601"/>
        <w:gridCol w:w="603"/>
        <w:gridCol w:w="109"/>
        <w:gridCol w:w="109"/>
        <w:gridCol w:w="109"/>
        <w:gridCol w:w="1054"/>
        <w:gridCol w:w="1054"/>
        <w:gridCol w:w="1056"/>
        <w:gridCol w:w="109"/>
        <w:gridCol w:w="109"/>
        <w:gridCol w:w="109"/>
        <w:gridCol w:w="265"/>
        <w:gridCol w:w="1038"/>
        <w:gridCol w:w="137"/>
        <w:gridCol w:w="109"/>
        <w:gridCol w:w="109"/>
        <w:gridCol w:w="109"/>
        <w:gridCol w:w="313"/>
        <w:gridCol w:w="1228"/>
        <w:gridCol w:w="228"/>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107,279 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103,958 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current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1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223,981 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197,295 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227,587 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199,960 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and classification within the unaudited Condensed Consolidated Statements of Operations were as follows:</w:t>
      </w:r>
    </w:p>
    <w:tbl>
      <w:tblPr>
        <w:tblW w:w="6357" w:type="dxa"/>
        <w:jc w:val="left"/>
        <w:tblInd w:w="0" w:type="dxa"/>
        <w:tblCellMar>
          <w:top w:w="28" w:type="dxa"/>
          <w:left w:w="28" w:type="dxa"/>
          <w:bottom w:w="28" w:type="dxa"/>
          <w:right w:w="28" w:type="dxa"/>
        </w:tblCellMar>
      </w:tblPr>
      <w:tblGrid>
        <w:gridCol w:w="1119"/>
        <w:gridCol w:w="985"/>
        <w:gridCol w:w="986"/>
        <w:gridCol w:w="267"/>
        <w:gridCol w:w="781"/>
        <w:gridCol w:w="138"/>
        <w:gridCol w:w="138"/>
        <w:gridCol w:w="138"/>
        <w:gridCol w:w="138"/>
        <w:gridCol w:w="267"/>
        <w:gridCol w:w="781"/>
        <w:gridCol w:w="138"/>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costs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to inventory</w:t>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lease costs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2022 and December 31, 2021, $6,699 and $4,393, respectively, of lease costs remained capitalized in inventory. We recognized a gain of $128 during the three months ended March 31, 2022 related to the termination of two of our leases, which is included in “General and administrative expenses” on the unaudited Condensed Consolidated Statement of Operations.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short-term and variable lease costs:</w:t>
      </w:r>
    </w:p>
    <w:tbl>
      <w:tblPr>
        <w:tblW w:w="6643" w:type="dxa"/>
        <w:jc w:val="left"/>
        <w:tblInd w:w="0" w:type="dxa"/>
        <w:tblCellMar>
          <w:top w:w="28" w:type="dxa"/>
          <w:left w:w="28" w:type="dxa"/>
          <w:bottom w:w="28" w:type="dxa"/>
          <w:right w:w="28" w:type="dxa"/>
        </w:tblCellMar>
      </w:tblPr>
      <w:tblGrid>
        <w:gridCol w:w="1222"/>
        <w:gridCol w:w="1075"/>
        <w:gridCol w:w="1078"/>
        <w:gridCol w:w="287"/>
        <w:gridCol w:w="839"/>
        <w:gridCol w:w="148"/>
        <w:gridCol w:w="148"/>
        <w:gridCol w:w="148"/>
        <w:gridCol w:w="148"/>
        <w:gridCol w:w="287"/>
        <w:gridCol w:w="634"/>
        <w:gridCol w:w="148"/>
        <w:gridCol w:w="109"/>
        <w:gridCol w:w="109"/>
        <w:gridCol w:w="109"/>
        <w:gridCol w:w="154"/>
      </w:tblGrid>
      <w:tr>
        <w:trPr/>
        <w:tc>
          <w:tcPr>
            <w:tcW w:w="122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444"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and variable lease costs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Sublease income generated during the three months ended March 31, 2022 and 2021 was immaterial.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supplemental cash and non-cash information related to our leases:</w:t>
      </w:r>
    </w:p>
    <w:tbl>
      <w:tblPr>
        <w:tblW w:w="8961" w:type="dxa"/>
        <w:jc w:val="left"/>
        <w:tblInd w:w="0" w:type="dxa"/>
        <w:tblCellMar>
          <w:top w:w="28" w:type="dxa"/>
          <w:left w:w="28" w:type="dxa"/>
          <w:bottom w:w="28" w:type="dxa"/>
          <w:right w:w="28" w:type="dxa"/>
        </w:tblCellMar>
      </w:tblPr>
      <w:tblGrid>
        <w:gridCol w:w="2100"/>
        <w:gridCol w:w="1845"/>
        <w:gridCol w:w="1860"/>
        <w:gridCol w:w="109"/>
        <w:gridCol w:w="109"/>
        <w:gridCol w:w="109"/>
        <w:gridCol w:w="243"/>
        <w:gridCol w:w="833"/>
        <w:gridCol w:w="125"/>
        <w:gridCol w:w="125"/>
        <w:gridCol w:w="125"/>
        <w:gridCol w:w="125"/>
        <w:gridCol w:w="243"/>
        <w:gridCol w:w="833"/>
        <w:gridCol w:w="177"/>
      </w:tblGrid>
      <w:tr>
        <w:trPr/>
        <w:tc>
          <w:tcPr>
            <w:tcW w:w="210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 for our real estate leases is 16.6 years and 15.8 years at March 31, 2022 and December 31, 2021, respectively, and the weighted-average discount rate is 14.8% and 12.7% at March 31, 2022 and December 31, 2021, respectively.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future undiscounted cash flows related to the lease payments over the lease terms and the reconciliation to the present value of the lease liabilities as recorded on our unaudited Condensed Consolidated Balance Sheet as of March 31, 2022 are as follows:</w:t>
      </w:r>
    </w:p>
    <w:tbl>
      <w:tblPr>
        <w:tblW w:w="5685" w:type="dxa"/>
        <w:jc w:val="left"/>
        <w:tblInd w:w="0" w:type="dxa"/>
        <w:tblCellMar>
          <w:top w:w="28" w:type="dxa"/>
          <w:left w:w="28" w:type="dxa"/>
          <w:bottom w:w="28" w:type="dxa"/>
          <w:right w:w="28" w:type="dxa"/>
        </w:tblCellMar>
      </w:tblPr>
      <w:tblGrid>
        <w:gridCol w:w="1005"/>
        <w:gridCol w:w="884"/>
        <w:gridCol w:w="885"/>
        <w:gridCol w:w="447"/>
        <w:gridCol w:w="1752"/>
        <w:gridCol w:w="231"/>
        <w:gridCol w:w="109"/>
        <w:gridCol w:w="109"/>
        <w:gridCol w:w="109"/>
        <w:gridCol w:w="154"/>
      </w:tblGrid>
      <w:tr>
        <w:trPr/>
        <w:tc>
          <w:tcPr>
            <w:tcW w:w="100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2022</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33,028 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33,952 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472,009 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1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633,440 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Present value of lease liabilities</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227,587 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180"/>
        <w:jc w:val="both"/>
        <w:rPr>
          <w:rFonts w:ascii="Times New Roman;sans-serif" w:hAnsi="Times New Roman;sans-serif"/>
          <w:b/>
          <w:i/>
          <w:color w:val="000000"/>
          <w:sz w:val="20"/>
        </w:rPr>
      </w:pPr>
      <w:r>
        <w:rPr>
          <w:rFonts w:ascii="Times New Roman;sans-serif" w:hAnsi="Times New Roman;sans-serif"/>
          <w:b/>
          <w:i/>
          <w:color w:val="000000"/>
          <w:sz w:val="20"/>
        </w:rPr>
        <w:t>Lease Amendments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amended the leases related to our Athol, Massachusetts and Lansing, Michigan cultivation facilities to increase the tenant improvement allowance for each, which resulted in increased rent amounts. We accounted for the amendments as lease modifications and remeasured each ROU asset and lease liability as of the amendment dates. The modifications resulted in a total additional tenant improvement allowance of $19,300, a reduction of $22,483 to total ROU assets, and a reduction of $3,183 to total lease liabilities.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spacing w:lineRule="auto" w:line="288" w:before="0" w:after="180"/>
        <w:ind w:left="0" w:right="0" w:firstLine="720"/>
        <w:jc w:val="both"/>
        <w:rPr/>
      </w:pPr>
      <w:r>
        <w:rPr>
          <w:rFonts w:ascii="Times New Roman;sans-serif" w:hAnsi="Times New Roman;sans-serif"/>
          <w:b w:val="false"/>
          <w:color w:val="000000"/>
          <w:sz w:val="20"/>
        </w:rPr>
        <w:t>In February 2022, the Company sold and subsequently leased back one of its capital assets in Franklin,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Times New Roman;sans-serif" w:hAnsi="Times New Roman;sans-serif"/>
          <w:b w:val="false"/>
          <w:color w:val="FF0000"/>
          <w:sz w:val="20"/>
        </w:rPr>
        <w: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2021, a wholly owned subsidiary of the Company entered into a definitive agreement for the sale of certain real estate and related assets of a commercial property located in New Bedford, Massachusetts to a third-party for a total purchase price of $350, subject to certain adjustments. The closing is subject to certain conditions, including entering into an operating lease with the third-party. The Company anticipates this transaction will be accounted for either as a sale leaseback transaction or a finance liability, depending on the final lease terms.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 </w:t>
      </w:r>
    </w:p>
    <w:tbl>
      <w:tblPr>
        <w:tblW w:w="10205" w:type="dxa"/>
        <w:jc w:val="left"/>
        <w:tblInd w:w="0" w:type="dxa"/>
        <w:tblCellMar>
          <w:top w:w="28" w:type="dxa"/>
          <w:left w:w="28" w:type="dxa"/>
          <w:bottom w:w="28" w:type="dxa"/>
          <w:right w:w="28" w:type="dxa"/>
        </w:tblCellMar>
      </w:tblPr>
      <w:tblGrid>
        <w:gridCol w:w="405"/>
        <w:gridCol w:w="293"/>
        <w:gridCol w:w="294"/>
        <w:gridCol w:w="109"/>
        <w:gridCol w:w="109"/>
        <w:gridCol w:w="109"/>
        <w:gridCol w:w="240"/>
        <w:gridCol w:w="704"/>
        <w:gridCol w:w="12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0"/>
        <w:gridCol w:w="671"/>
        <w:gridCol w:w="120"/>
        <w:gridCol w:w="109"/>
        <w:gridCol w:w="109"/>
        <w:gridCol w:w="109"/>
        <w:gridCol w:w="211"/>
        <w:gridCol w:w="721"/>
        <w:gridCol w:w="157"/>
      </w:tblGrid>
      <w:tr>
        <w:trPr/>
        <w:tc>
          <w:tcPr>
            <w:tcW w:w="40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under financing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11. DEBT</w:t>
      </w:r>
    </w:p>
    <w:tbl>
      <w:tblPr>
        <w:tblW w:w="7121" w:type="dxa"/>
        <w:jc w:val="left"/>
        <w:tblInd w:w="0" w:type="dxa"/>
        <w:tblCellMar>
          <w:top w:w="28" w:type="dxa"/>
          <w:left w:w="28" w:type="dxa"/>
          <w:bottom w:w="28" w:type="dxa"/>
          <w:right w:w="28" w:type="dxa"/>
        </w:tblCellMar>
      </w:tblPr>
      <w:tblGrid>
        <w:gridCol w:w="1299"/>
        <w:gridCol w:w="1141"/>
        <w:gridCol w:w="1145"/>
        <w:gridCol w:w="265"/>
        <w:gridCol w:w="1038"/>
        <w:gridCol w:w="137"/>
        <w:gridCol w:w="109"/>
        <w:gridCol w:w="109"/>
        <w:gridCol w:w="109"/>
        <w:gridCol w:w="313"/>
        <w:gridCol w:w="1228"/>
        <w:gridCol w:w="228"/>
      </w:tblGrid>
      <w:tr>
        <w:trPr/>
        <w:tc>
          <w:tcPr>
            <w:tcW w:w="12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2021 Credit Facility</w:t>
            </w:r>
            <w:r>
              <w:rPr>
                <w:rFonts w:ascii="Times New Roman;sans-serif" w:hAnsi="Times New Roman;sans-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liabilities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266,866 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27,980 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portion of debt, net</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230,103 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238,886 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 net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222,593 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230,846 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August 27, 2021, the Company entered into a credit agreement with a group of lenders (the “2021 Credit Agreement”) that provides for a term loan of $210,000 (the “2021 Credit Facility”), which was borrowed in full. 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We incurred total financing costs of $8,806, that are being amortized to interest expense over the term of 2021 Credit Facility using the straight-line method which approximates the interest rate method.</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Mandatory prepayments are required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 The 2021 Credit Agreement permits the company to request an extension of the maturity date for 364 days, in the lenders’ discretion, and to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increase the 2021 Credit Facility up to $275,000 if the then-existing lenders (or other lenders) agree to provide such additional term loans.</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2.25:1.00 for the period ending March 31, 2022, and less than 2.50:1.00 for the period ending June 30, 2022 and thereafter. The Company has a customary equity cure right for each of these financial covenants. The Company is in compliance with these covenants as of March 31, 2022.</w:t>
      </w:r>
    </w:p>
    <w:p>
      <w:pPr>
        <w:pStyle w:val="TextBody"/>
        <w:spacing w:lineRule="auto" w:line="288" w:before="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 </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Sellers’ Notes consist of amounts owed for acquisitions or other purchases. During the three months ended March 31, 2022, we repaid $24,839 to the former owners of two entities that we previously acquired, which is included in “Current portion of debt, net” on the unaudited Condensed Consolidated Balance Sheet at December 31, 2021. A total of $8,000 remains due to the former owners of one entity that we previously acquired, which is included on the unaudited Condensed Consolidated Balance Sheets under the caption “Current portion of debt, net” at March 31, 2022 and Long-term debt, net” at December 31, 2021.</w:t>
      </w:r>
    </w:p>
    <w:p>
      <w:pPr>
        <w:pStyle w:val="TextBody"/>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at March 31, 2022, $5,493 remains due under the purchase of a non-controlling interest, of which $3,140 and $2,353 is included in “Current portion of debt, net” and “Long-term debt, net” respectively on the unaudited Condensed Consolidated Balance Sheet. At December 31, 2021, $3,140 and $3,136 is included in “Current portion of debt, net” and “Long-term debt, net” respectively.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Debt Maturities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repaid $24,839 of sellers’ notes related to two previous acquisitions and $786 of sellers’ notes related to the former owners of a previous non-controlling interest.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2022, the following cash payments are required under our debt arrangements: </w:t>
      </w:r>
    </w:p>
    <w:tbl>
      <w:tblPr>
        <w:tblW w:w="10205" w:type="dxa"/>
        <w:jc w:val="left"/>
        <w:tblInd w:w="0" w:type="dxa"/>
        <w:tblCellMar>
          <w:top w:w="28" w:type="dxa"/>
          <w:left w:w="28" w:type="dxa"/>
          <w:bottom w:w="28" w:type="dxa"/>
          <w:right w:w="28" w:type="dxa"/>
        </w:tblCellMar>
      </w:tblPr>
      <w:tblGrid>
        <w:gridCol w:w="649"/>
        <w:gridCol w:w="570"/>
        <w:gridCol w:w="572"/>
        <w:gridCol w:w="109"/>
        <w:gridCol w:w="109"/>
        <w:gridCol w:w="109"/>
        <w:gridCol w:w="385"/>
        <w:gridCol w:w="1130"/>
        <w:gridCol w:w="202"/>
        <w:gridCol w:w="109"/>
        <w:gridCol w:w="109"/>
        <w:gridCol w:w="109"/>
        <w:gridCol w:w="211"/>
        <w:gridCol w:w="721"/>
        <w:gridCol w:w="109"/>
        <w:gridCol w:w="109"/>
        <w:gridCol w:w="109"/>
        <w:gridCol w:w="109"/>
        <w:gridCol w:w="211"/>
        <w:gridCol w:w="406"/>
        <w:gridCol w:w="109"/>
        <w:gridCol w:w="109"/>
        <w:gridCol w:w="109"/>
        <w:gridCol w:w="109"/>
        <w:gridCol w:w="282"/>
        <w:gridCol w:w="544"/>
        <w:gridCol w:w="109"/>
        <w:gridCol w:w="109"/>
        <w:gridCol w:w="109"/>
        <w:gridCol w:w="109"/>
        <w:gridCol w:w="211"/>
        <w:gridCol w:w="406"/>
        <w:gridCol w:w="109"/>
        <w:gridCol w:w="109"/>
        <w:gridCol w:w="109"/>
        <w:gridCol w:w="109"/>
        <w:gridCol w:w="109"/>
        <w:gridCol w:w="109"/>
        <w:gridCol w:w="211"/>
        <w:gridCol w:w="721"/>
        <w:gridCol w:w="157"/>
      </w:tblGrid>
      <w:tr>
        <w:trPr/>
        <w:tc>
          <w:tcPr>
            <w:tcW w:w="64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note maturities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Certain cash payments include an interest accretion component.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during 2022 and 2021 consisted of the following:</w:t>
      </w:r>
    </w:p>
    <w:tbl>
      <w:tblPr>
        <w:tblW w:w="5936" w:type="dxa"/>
        <w:jc w:val="left"/>
        <w:tblInd w:w="0" w:type="dxa"/>
        <w:tblCellMar>
          <w:top w:w="28" w:type="dxa"/>
          <w:left w:w="28" w:type="dxa"/>
          <w:bottom w:w="28" w:type="dxa"/>
          <w:right w:w="28" w:type="dxa"/>
        </w:tblCellMar>
      </w:tblPr>
      <w:tblGrid>
        <w:gridCol w:w="967"/>
        <w:gridCol w:w="849"/>
        <w:gridCol w:w="853"/>
        <w:gridCol w:w="267"/>
        <w:gridCol w:w="781"/>
        <w:gridCol w:w="138"/>
        <w:gridCol w:w="138"/>
        <w:gridCol w:w="138"/>
        <w:gridCol w:w="138"/>
        <w:gridCol w:w="267"/>
        <w:gridCol w:w="781"/>
        <w:gridCol w:w="138"/>
        <w:gridCol w:w="109"/>
        <w:gridCol w:w="109"/>
        <w:gridCol w:w="109"/>
        <w:gridCol w:w="154"/>
      </w:tblGrid>
      <w:tr>
        <w:trPr/>
        <w:tc>
          <w:tcPr>
            <w:tcW w:w="96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w:t>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414"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on financing liability</w:t>
            </w:r>
            <w:r>
              <w:rPr>
                <w:rFonts w:ascii="Times New Roman;sans-serif" w:hAnsi="Times New Roman;sans-serif"/>
                <w:b w:val="false"/>
                <w:color w:val="000000"/>
                <w:sz w:val="13"/>
              </w:rPr>
              <w:t>(1)</w:t>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Interest on financing liability related to failed sale leaseback transactions. See Note 10, “Leases,” for additional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unaudited Condensed Consolidated Statements of Changes in Stockholders’ Equity on an as-converted to historical common units basis. In conjunction with the Conversion, each historical common unit then-outstanding converted into one share of Class A common stock, except 65 units that were allocated to shares of Class B common stock. </w:t>
      </w:r>
    </w:p>
    <w:p>
      <w:pPr>
        <w:pStyle w:val="TextBody"/>
        <w:spacing w:before="0" w:after="12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2021, the Company completed an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Additionally, the then-outstanding convertible promissory notes, plus accrued interest, converted into a total of 37,388 shares of Class A common stock.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total shares of Class A common stock and Class B common stock outstanding as of March 31, 2022 and December 31, 2021:</w:t>
      </w:r>
    </w:p>
    <w:tbl>
      <w:tblPr>
        <w:tblW w:w="6280" w:type="dxa"/>
        <w:jc w:val="left"/>
        <w:tblInd w:w="0" w:type="dxa"/>
        <w:tblCellMar>
          <w:top w:w="28" w:type="dxa"/>
          <w:left w:w="28" w:type="dxa"/>
          <w:bottom w:w="28" w:type="dxa"/>
          <w:right w:w="28" w:type="dxa"/>
        </w:tblCellMar>
      </w:tblPr>
      <w:tblGrid>
        <w:gridCol w:w="994"/>
        <w:gridCol w:w="874"/>
        <w:gridCol w:w="877"/>
        <w:gridCol w:w="479"/>
        <w:gridCol w:w="479"/>
        <w:gridCol w:w="481"/>
        <w:gridCol w:w="109"/>
        <w:gridCol w:w="109"/>
        <w:gridCol w:w="109"/>
        <w:gridCol w:w="517"/>
        <w:gridCol w:w="517"/>
        <w:gridCol w:w="735"/>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174,392 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171,521 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4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171,586</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warrants activity during the quarter ended March 31, 2022:</w:t>
      </w:r>
    </w:p>
    <w:tbl>
      <w:tblPr>
        <w:tblW w:w="10205" w:type="dxa"/>
        <w:jc w:val="left"/>
        <w:tblInd w:w="0" w:type="dxa"/>
        <w:tblCellMar>
          <w:top w:w="28" w:type="dxa"/>
          <w:left w:w="28" w:type="dxa"/>
          <w:bottom w:w="28" w:type="dxa"/>
          <w:right w:w="28" w:type="dxa"/>
        </w:tblCellMar>
      </w:tblPr>
      <w:tblGrid>
        <w:gridCol w:w="607"/>
        <w:gridCol w:w="534"/>
        <w:gridCol w:w="536"/>
        <w:gridCol w:w="109"/>
        <w:gridCol w:w="109"/>
        <w:gridCol w:w="109"/>
        <w:gridCol w:w="412"/>
        <w:gridCol w:w="412"/>
        <w:gridCol w:w="413"/>
        <w:gridCol w:w="109"/>
        <w:gridCol w:w="109"/>
        <w:gridCol w:w="109"/>
        <w:gridCol w:w="531"/>
        <w:gridCol w:w="1287"/>
        <w:gridCol w:w="276"/>
        <w:gridCol w:w="109"/>
        <w:gridCol w:w="109"/>
        <w:gridCol w:w="109"/>
        <w:gridCol w:w="812"/>
        <w:gridCol w:w="812"/>
        <w:gridCol w:w="814"/>
        <w:gridCol w:w="109"/>
        <w:gridCol w:w="109"/>
        <w:gridCol w:w="109"/>
        <w:gridCol w:w="309"/>
        <w:gridCol w:w="906"/>
        <w:gridCol w:w="236"/>
      </w:tblGrid>
      <w:tr>
        <w:trPr/>
        <w:tc>
          <w:tcPr>
            <w:tcW w:w="607"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Warrants</w:t>
            </w:r>
          </w:p>
          <w:p>
            <w:pPr>
              <w:pStyle w:val="TableContents"/>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 Remaining Exercise Period</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spacing w:lineRule="auto" w:line="240" w:before="0" w:after="0"/>
              <w:jc w:val="center"/>
              <w:rPr/>
            </w:pPr>
            <w:r>
              <w:rPr>
                <w:rFonts w:ascii="Times New Roman;sans-serif" w:hAnsi="Times New Roman;sans-serif"/>
                <w:b/>
                <w:i/>
                <w:color w:val="000000"/>
                <w:sz w:val="18"/>
              </w:rPr>
              <w:t>(in thousands)</w:t>
            </w:r>
            <w:r>
              <w:rPr>
                <w:rFonts w:ascii="Times New Roman;sans-serif" w:hAnsi="Times New Roman;sans-serif"/>
                <w:b/>
                <w:color w:val="000000"/>
                <w:sz w:val="12"/>
              </w:rPr>
              <w:t>(2)</w:t>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4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 conjunction with the Conversion, the holders of warrants to acquire 3,531 common units at an exercise price of $4.00 received warrants to acquire an equal number of shares of Class A common stock. </w:t>
      </w:r>
    </w:p>
    <w:p>
      <w:pPr>
        <w:pStyle w:val="TextBody"/>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Based on the amount by which the closing market price of our Class A common stock exceeds the exercise price on each date indicated.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outstanding as of March 31, 2022 are equity-classified instruments, are subject to customary anti-dilution adjustments, are stand-alone instruments, and are not part of the terms of the notes to which they were originally issued. The warrants had an estimated total fair value of $237 at issuance, which was calculated using a Black-Scholes model. The fair value per warrant ranged from $0.02 to $0.10 and significant assumptions used in the calculation included volatility ranging from 69.2% to 108.4% and risk-free rates ranging from 0.17% to 2.17%.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13. EQUITY-BASED COMPENSATION EXPENSE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Equity Incentive Plans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issued under the plan as of March 31, 2022. The Awards generally vest over two or three years. The estimated fair value of the Awards at issuance is recognized as compensation expense over the related vesting period.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Conversion, the holders of the restricted common units issued under the 2020 Plan received one restricted share of Class A common stock (a “Restricted Common Share”) for each restricted common unit held immediately prior to the Conversion.</w:t>
      </w:r>
    </w:p>
    <w:p>
      <w:pPr>
        <w:pStyle w:val="TextBody"/>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restricted common shares activity during the three months ended March 31, 2022:</w:t>
      </w:r>
    </w:p>
    <w:tbl>
      <w:tblPr>
        <w:tblW w:w="4994" w:type="dxa"/>
        <w:jc w:val="left"/>
        <w:tblInd w:w="0" w:type="dxa"/>
        <w:tblCellMar>
          <w:top w:w="28" w:type="dxa"/>
          <w:left w:w="28" w:type="dxa"/>
          <w:bottom w:w="28" w:type="dxa"/>
          <w:right w:w="28" w:type="dxa"/>
        </w:tblCellMar>
      </w:tblPr>
      <w:tblGrid>
        <w:gridCol w:w="923"/>
        <w:gridCol w:w="811"/>
        <w:gridCol w:w="816"/>
        <w:gridCol w:w="714"/>
        <w:gridCol w:w="714"/>
        <w:gridCol w:w="1016"/>
      </w:tblGrid>
      <w:tr>
        <w:trPr/>
        <w:tc>
          <w:tcPr>
            <w:tcW w:w="9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Common Shares</w:t>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2021</w:t>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4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0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4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Unvested, March 31, 2022</w:t>
            </w:r>
          </w:p>
        </w:tc>
        <w:tc>
          <w:tcPr>
            <w:tcW w:w="14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0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total unrecognized compensation cost related to the restricted common shares was $206, which is expected to be recognized over a weighted-average remaining vesting period of 0.5 years.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As of March 31, 2022, there were 6,546 shares of Class A common stock available for grant for future equity-based compensation awards under the 2021 Plan. Activity related to awards issued under the 2021 Plan is further described below. As of March 31, 2022, no SAR Awards and no RSAs have been granted under the 2021 Plan. </w:t>
      </w:r>
    </w:p>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three months ended March 31, 2022:</w:t>
      </w:r>
    </w:p>
    <w:tbl>
      <w:tblPr>
        <w:tblW w:w="10205" w:type="dxa"/>
        <w:jc w:val="left"/>
        <w:tblInd w:w="0" w:type="dxa"/>
        <w:tblCellMar>
          <w:top w:w="28" w:type="dxa"/>
          <w:left w:w="28" w:type="dxa"/>
          <w:bottom w:w="28" w:type="dxa"/>
          <w:right w:w="28" w:type="dxa"/>
        </w:tblCellMar>
      </w:tblPr>
      <w:tblGrid>
        <w:gridCol w:w="756"/>
        <w:gridCol w:w="502"/>
        <w:gridCol w:w="504"/>
        <w:gridCol w:w="109"/>
        <w:gridCol w:w="109"/>
        <w:gridCol w:w="109"/>
        <w:gridCol w:w="359"/>
        <w:gridCol w:w="359"/>
        <w:gridCol w:w="361"/>
        <w:gridCol w:w="109"/>
        <w:gridCol w:w="109"/>
        <w:gridCol w:w="109"/>
        <w:gridCol w:w="530"/>
        <w:gridCol w:w="1285"/>
        <w:gridCol w:w="276"/>
        <w:gridCol w:w="109"/>
        <w:gridCol w:w="109"/>
        <w:gridCol w:w="109"/>
        <w:gridCol w:w="821"/>
        <w:gridCol w:w="821"/>
        <w:gridCol w:w="822"/>
        <w:gridCol w:w="109"/>
        <w:gridCol w:w="109"/>
        <w:gridCol w:w="109"/>
        <w:gridCol w:w="407"/>
        <w:gridCol w:w="785"/>
        <w:gridCol w:w="309"/>
      </w:tblGrid>
      <w:tr>
        <w:trPr/>
        <w:tc>
          <w:tcPr>
            <w:tcW w:w="756"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1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r>
      <w:tr>
        <w:trPr/>
        <w:tc>
          <w:tcPr>
            <w:tcW w:w="1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Remaining Contractual Life </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Aggregate Intrinsic Value</w:t>
            </w:r>
            <w:r>
              <w:rPr>
                <w:rFonts w:ascii="Times New Roman;sans-serif" w:hAnsi="Times New Roman;sans-serif"/>
                <w:b/>
                <w:color w:val="000000"/>
                <w:sz w:val="13"/>
              </w:rPr>
              <w:t>(1)</w:t>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r>
      <w:tr>
        <w:trPr/>
        <w:tc>
          <w:tcPr>
            <w:tcW w:w="1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1" w:type="dxa"/>
            <w:gridSpan w:val="3"/>
            <w:tcBorders/>
            <w:shd w:fill="auto" w:val="clear"/>
            <w:vAlign w:val="center"/>
          </w:tcPr>
          <w:p>
            <w:pPr>
              <w:pStyle w:val="TableContents"/>
              <w:spacing w:before="0" w:after="283"/>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Based on the amount by which the closing market price of our Class A common stock exceeds the exercise price on each date indicated.</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options were exercised during the three months ended March 31, 2022. As of March 31, 2022, total unrecognized stock-based compensation expense related to unvested options was $2,590, which is expected to be recognized over a weighted-average remaining vesting period of 2.5 years.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fair value of stock options on the grant date using a Black-Scholes option pricing model. The fair value of stock options granted during the three months ended March 31, 2022 was calculated on the date of grant using the following weighted-average assumptions:</w:t>
      </w:r>
    </w:p>
    <w:tbl>
      <w:tblPr>
        <w:tblW w:w="4122" w:type="dxa"/>
        <w:jc w:val="left"/>
        <w:tblInd w:w="0" w:type="dxa"/>
        <w:tblCellMar>
          <w:top w:w="28" w:type="dxa"/>
          <w:left w:w="28" w:type="dxa"/>
          <w:bottom w:w="28" w:type="dxa"/>
          <w:right w:w="28" w:type="dxa"/>
        </w:tblCellMar>
      </w:tblPr>
      <w:tblGrid>
        <w:gridCol w:w="679"/>
        <w:gridCol w:w="596"/>
        <w:gridCol w:w="600"/>
        <w:gridCol w:w="109"/>
        <w:gridCol w:w="109"/>
        <w:gridCol w:w="109"/>
        <w:gridCol w:w="391"/>
        <w:gridCol w:w="391"/>
        <w:gridCol w:w="1138"/>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1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1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Using the Black-Scholes option pricing model, the weighted-average fair value of stock options granted during the three months ended March 31, 2022 was $1.97 per share.</w:t>
      </w:r>
    </w:p>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 during the three months ended March 31, 2022:</w:t>
      </w:r>
    </w:p>
    <w:tbl>
      <w:tblPr>
        <w:tblW w:w="9055" w:type="dxa"/>
        <w:jc w:val="left"/>
        <w:tblInd w:w="0" w:type="dxa"/>
        <w:tblCellMar>
          <w:top w:w="28" w:type="dxa"/>
          <w:left w:w="28" w:type="dxa"/>
          <w:bottom w:w="28" w:type="dxa"/>
          <w:right w:w="28" w:type="dxa"/>
        </w:tblCellMar>
      </w:tblPr>
      <w:tblGrid>
        <w:gridCol w:w="923"/>
        <w:gridCol w:w="811"/>
        <w:gridCol w:w="816"/>
        <w:gridCol w:w="539"/>
        <w:gridCol w:w="539"/>
        <w:gridCol w:w="541"/>
        <w:gridCol w:w="109"/>
        <w:gridCol w:w="109"/>
        <w:gridCol w:w="109"/>
        <w:gridCol w:w="979"/>
        <w:gridCol w:w="2863"/>
        <w:gridCol w:w="717"/>
      </w:tblGrid>
      <w:tr>
        <w:trPr/>
        <w:tc>
          <w:tcPr>
            <w:tcW w:w="9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286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Number of Shares</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5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5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59"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2021</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Vested</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Unvested, March 31, 2022</w:t>
            </w:r>
          </w:p>
        </w:tc>
        <w:tc>
          <w:tcPr>
            <w:tcW w:w="107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7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1,260 vested shares that were withheld to cover tax obligations and were subsequently canceled.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total unrecognized compensation cost related to the RSUs was $51,392, which is expected to be recognized over a weighted-average remaining vesting period of 2.0 years. </w:t>
      </w: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Compensation Expense by Type of Award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equity-based compensation expense by type of award for the periods presented:</w:t>
      </w:r>
    </w:p>
    <w:tbl>
      <w:tblPr>
        <w:tblW w:w="6444" w:type="dxa"/>
        <w:jc w:val="left"/>
        <w:tblInd w:w="0" w:type="dxa"/>
        <w:tblCellMar>
          <w:top w:w="28" w:type="dxa"/>
          <w:left w:w="28" w:type="dxa"/>
          <w:bottom w:w="28" w:type="dxa"/>
          <w:right w:w="28" w:type="dxa"/>
        </w:tblCellMar>
      </w:tblPr>
      <w:tblGrid>
        <w:gridCol w:w="1308"/>
        <w:gridCol w:w="1148"/>
        <w:gridCol w:w="1158"/>
        <w:gridCol w:w="266"/>
        <w:gridCol w:w="778"/>
        <w:gridCol w:w="137"/>
        <w:gridCol w:w="137"/>
        <w:gridCol w:w="137"/>
        <w:gridCol w:w="137"/>
        <w:gridCol w:w="266"/>
        <w:gridCol w:w="778"/>
        <w:gridCol w:w="194"/>
      </w:tblGrid>
      <w:tr>
        <w:trPr/>
        <w:tc>
          <w:tcPr>
            <w:tcW w:w="1308"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u w:val="single"/>
              </w:rPr>
            </w:pPr>
            <w:r>
              <w:rPr>
                <w:rFonts w:ascii="Times New Roman;sans-serif" w:hAnsi="Times New Roman;sans-serif"/>
                <w:b w:val="false"/>
                <w:i/>
                <w:color w:val="000000"/>
                <w:sz w:val="18"/>
                <w:u w:val="single"/>
              </w:rPr>
              <w:t>(in thousands)</w:t>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RSUs</w:t>
            </w:r>
            <w:r>
              <w:rPr>
                <w:rFonts w:ascii="Times New Roman;sans-serif" w:hAnsi="Times New Roman;sans-serif"/>
                <w:b w:val="false"/>
                <w:color w:val="000000"/>
                <w:sz w:val="13"/>
              </w:rPr>
              <w:t>(1)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Common Shares</w:t>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equity-based compensation expense</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RSUs issued for the 2021 annual performance bonus, which is included in “Accounts payable and accrued liabilities” on the unaudited Condensed Consolidated Balance Sheet at December 31, 2021. These RSUs vested at issuance with a value of $7,959, which reflects a change in estimate of $632 that is included as a reduction to equity-based compensation expense and is included within “General and administrative expenses” on the unaudited Condensed Consolidated Statements of Operations for the three months ended March 31, 2022.</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Of the total equity-based compensation expense, $3,211 was capitalized to inventory during the three months ended March 31, 2022 and $4,030 and $4,814 remains capitalized as of March 31, 2022 and December 31, 2021, respectively. No equity-based compensation expense was capitalized during the three months ended March 31, 2021. During the three months ended March 31, 2022 and 2021, we recognized $2,504 and $2,487, respectively, within “General and administrative expenses” and $3,995 and none, respectively, within “Cost of goods sold” on the unaudited Condensed Consolidated Statements of Operations.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14. INCOME TAXES</w:t>
      </w:r>
    </w:p>
    <w:tbl>
      <w:tblPr>
        <w:tblW w:w="6078" w:type="dxa"/>
        <w:jc w:val="left"/>
        <w:tblInd w:w="0" w:type="dxa"/>
        <w:tblCellMar>
          <w:top w:w="28" w:type="dxa"/>
          <w:left w:w="28" w:type="dxa"/>
          <w:bottom w:w="28" w:type="dxa"/>
          <w:right w:w="28" w:type="dxa"/>
        </w:tblCellMar>
      </w:tblPr>
      <w:tblGrid>
        <w:gridCol w:w="983"/>
        <w:gridCol w:w="863"/>
        <w:gridCol w:w="868"/>
        <w:gridCol w:w="211"/>
        <w:gridCol w:w="796"/>
        <w:gridCol w:w="271"/>
        <w:gridCol w:w="109"/>
        <w:gridCol w:w="109"/>
        <w:gridCol w:w="109"/>
        <w:gridCol w:w="211"/>
        <w:gridCol w:w="796"/>
        <w:gridCol w:w="271"/>
        <w:gridCol w:w="109"/>
        <w:gridCol w:w="109"/>
        <w:gridCol w:w="109"/>
        <w:gridCol w:w="154"/>
      </w:tblGrid>
      <w:tr>
        <w:trPr/>
        <w:tc>
          <w:tcPr>
            <w:tcW w:w="983"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on gross profit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As such, the effective tax rate for the three months ended March 31, 2022 varies from the effective tax rate for the three months ended March 31, 2021 due to the tax-effected change in nondeductible expenses under IRC Section 280E as a proportion of pre-tax loss during the period.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significant future annual commitments, other than related to leases and debt, which are disclosed in Notes 10 and 11, respectively.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entered into agreements to purchase one property in New York and one property in New Jersey for a combined total purchase price of $18,100, subject to closing adjustments. The closing of each property is expected during 2022, but each is dependent on certain conditions, including inspection.</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OCC acquisition (see Note 4, “Acquisitions”)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and Other Matters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2022, cannabis regulations continue to evolve and are subject to differing interpretations, and accordingly, the Company may be subject to regulatory fines, penalties, or restrictions in the future.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2022 there were no pending or threatened lawsuits that could reasonably be expected to have a material effect on our consolidated results of operations, other than as disclosed below.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Stockholder Dispute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 </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Mr. Kurtin, and the Claimants entered into a settlement agreement, dated April 29, 2022, whereby the Company agreed to pay the Claimants a total of $5,000. This amount is included within “Settlement expense” on the unaudited Condensed Consolidated Statements of Operations in the Financial Statements for the three months ended March 31, 2022 and within “Accounts payable and accrued liabilities” on the unaudited Condensed Consolidated Balance Sheet at March 31, 2022. The settlement was subsequently paid in May 2022.</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provides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promptly as required by the Investment Agreement. Nevertheless, MedMen, on January 2, 2022, gave notice to the Company that MedMen purported to terminate the Investment Agreement.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not only seeking 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to settle the matter. The parties agreed to amend certain terms in the Investment Agreement, the Company agreed to pay MedMen $15,000 in additional transaction consideration, and MedMen agreed to withdraw its counterclaims against the Company. Per the amended transaction terms, upon closing, the Company will receive a 99.99% controlling interest of MMNY and the Company will pay MedMen $74,000, which reflects the original transaction consideration plus an additional $11,000 per the parties’ term sheet. The Company has already paid $4,000 as a deposit. The Company will make a subsequent payment of $14,000 upon the first sale of recreational cannabis in a MMNY dispensary, which reflects the initial transaction earn-out of $10,000 plus an additional $4,000. MedMen will be responsible for a $35,000 break fee if the parties do not close within thirty (30) days of the execution of the settlement agreement and amended Investment Agreement. The break fee shall be in addition to all other applicable equitable and legal remedies, including specific performance. There will be no additional earn-outs and no assumption of debt.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16. RELATED PARTY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related party transactions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17. SUPPLEMENTAL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other current assets:</w:t>
      </w:r>
    </w:p>
    <w:tbl>
      <w:tblPr>
        <w:tblW w:w="6222" w:type="dxa"/>
        <w:jc w:val="left"/>
        <w:tblInd w:w="0" w:type="dxa"/>
        <w:tblCellMar>
          <w:top w:w="28" w:type="dxa"/>
          <w:left w:w="28" w:type="dxa"/>
          <w:bottom w:w="28" w:type="dxa"/>
          <w:right w:w="28" w:type="dxa"/>
        </w:tblCellMar>
      </w:tblPr>
      <w:tblGrid>
        <w:gridCol w:w="972"/>
        <w:gridCol w:w="855"/>
        <w:gridCol w:w="858"/>
        <w:gridCol w:w="292"/>
        <w:gridCol w:w="998"/>
        <w:gridCol w:w="150"/>
        <w:gridCol w:w="109"/>
        <w:gridCol w:w="109"/>
        <w:gridCol w:w="109"/>
        <w:gridCol w:w="344"/>
        <w:gridCol w:w="1175"/>
        <w:gridCol w:w="251"/>
      </w:tblGrid>
      <w:tr>
        <w:trPr/>
        <w:tc>
          <w:tcPr>
            <w:tcW w:w="972"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and other receivables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 allowance</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deposits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accounts payable and accrued liabilities:</w:t>
      </w:r>
    </w:p>
    <w:tbl>
      <w:tblPr>
        <w:tblW w:w="6686" w:type="dxa"/>
        <w:jc w:val="left"/>
        <w:tblInd w:w="0" w:type="dxa"/>
        <w:tblCellMar>
          <w:top w:w="28" w:type="dxa"/>
          <w:left w:w="28" w:type="dxa"/>
          <w:bottom w:w="28" w:type="dxa"/>
          <w:right w:w="28" w:type="dxa"/>
        </w:tblCellMar>
      </w:tblPr>
      <w:tblGrid>
        <w:gridCol w:w="1140"/>
        <w:gridCol w:w="1003"/>
        <w:gridCol w:w="1006"/>
        <w:gridCol w:w="292"/>
        <w:gridCol w:w="998"/>
        <w:gridCol w:w="150"/>
        <w:gridCol w:w="109"/>
        <w:gridCol w:w="109"/>
        <w:gridCol w:w="109"/>
        <w:gridCol w:w="344"/>
        <w:gridCol w:w="1175"/>
        <w:gridCol w:w="251"/>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 purchases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settlement </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6,809 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regarding our general and administrative expenses:</w:t>
      </w:r>
    </w:p>
    <w:tbl>
      <w:tblPr>
        <w:tblW w:w="5863" w:type="dxa"/>
        <w:jc w:val="left"/>
        <w:tblInd w:w="0" w:type="dxa"/>
        <w:tblCellMar>
          <w:top w:w="28" w:type="dxa"/>
          <w:left w:w="28" w:type="dxa"/>
          <w:bottom w:w="28" w:type="dxa"/>
          <w:right w:w="28" w:type="dxa"/>
        </w:tblCellMar>
      </w:tblPr>
      <w:tblGrid>
        <w:gridCol w:w="937"/>
        <w:gridCol w:w="825"/>
        <w:gridCol w:w="832"/>
        <w:gridCol w:w="244"/>
        <w:gridCol w:w="835"/>
        <w:gridCol w:w="126"/>
        <w:gridCol w:w="126"/>
        <w:gridCol w:w="126"/>
        <w:gridCol w:w="126"/>
        <w:gridCol w:w="244"/>
        <w:gridCol w:w="835"/>
        <w:gridCol w:w="126"/>
        <w:gridCol w:w="109"/>
        <w:gridCol w:w="109"/>
        <w:gridCol w:w="109"/>
        <w:gridCol w:w="154"/>
      </w:tblGrid>
      <w:tr>
        <w:trPr/>
        <w:tc>
          <w:tcPr>
            <w:tcW w:w="937"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utilities</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v:rect>
            </w:pict>
          </mc:Fallback>
        </mc:AlternateConten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Ascend Wellness Holdings, Inc.</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except per unit or per share data)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19, 2022, the Company acquired Story of PA CR, LLC (“Story”). Total consideration for the acquisition of the outstanding equity interests in Story was approximately $53,100, consisting of 12,900 shares of Class A common stock with a fair value of approximately $42,900 and cash consideration of approximately $10,200. Story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Story intends to open a cultivation and processing facility and up to six medical dispensaries throughout the Commonwealth of Pennsylvania. The Company will help fund clinical research to benefit the patients of Pennsylvania by contributing $30,000 to Geisinger over the next two years (of which $15,000 was funded in April 2022), and up to an additional $10,000 over the next ten years. The Company is evaluating the accounting impact of the transaction, but expects the transaction will be accounted for as an asset purchase.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 discussion and analysis, which we refer to as the “MD&amp;A”, of the financial condition and results of operations of Ascend Wellness Holdings, Inc. (the “Company,” “AWH,” or “Ascend”) is for the three months ended March 31, 2022 and 2021.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2021 (the “Annual Report”), which has been filed with the United States Securities and Exchange Commission (“SEC”) and with the relevant Canadian securities regulatory authorities under its profile on the System for Electronic Document Analysis and Retrieval (“SEDAR”). The Financial Statements and Annual Report were prepared in accordance with accounting principles generally accepted in the United States of America, which we refer to as “GAAP.”</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shares of Class A common stock are listed on the Canadian Securities Exchange (the “CSE”) under the ticker symbol “AAWH.U” and are quoted on the OTCQX under the symbol “AAWH.” We are an emerging growth company under federal securities laws and as such we are able to elect to follow scaled disclosure requirements for this filing.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formation, we have expanded our operational footprint, primarily through acquisitions, and currently have direct or indirect operations or financial interests in six United States geographic markets: Illinois, Michigan, Ohio, Massachusetts, New Jersey, and Pennsylvania. We currently employ approximately 1,600 people.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being vertically integrated in every state we operate in, which entails controlling the entire supply chain from seed to sale. We are currently vertically integrated in five out of the six states in which we operate with expansion plans underway to achieve vertical integration in all six states. While we have been successful in opening facilities and dispensaries, we expect continued growth to be driven by opening new operational facilities and dispensaries under our current licenses, expansion of our current facilities, and increased consumer demand.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consumer products portfolio is generated primarily from plant material that we grow and process ourselves. As of March 31, 2022, we produce our consumer packaged goods in five manufacturing facilities with 213,000 square feet of current operational canopy and total current capacity of approximately 107,000 pounds annually. We are undergoing expansions which we hope to complete by the end of 2022, which will increase our cumulative canopy to approximately 238,000 square feet with an estimated total annual production capacity of approximately 119,000 pounds post build-out. As of March 31, 2022, our product portfolio consists of 285 stock keeping units (“SKUs”), across a range of cannabis product categories, including flower, pre-rolls, concentrates, vapes, edibles, and other cannabis-related products. As of March 31, 2022, we have 20 open and operating retail locations with expectations to have 23 retail locations by the end of 2022.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Business Developments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AWH continues to make meaningful progress and continue its development during 2022. During and subsequent to the quarter,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launched the “Simply Herb” cannabis brand in March 2022 in Illinois, Massachusetts, and Michigan, which is targeted to value-oriented consumers;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entered the Pennsylvania market in April 2022 by acquiring Story of PA CR, LLC, which acquisition permits the Company to add six dispensaries and one cultivation facility in Pennsylvania;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received approval and commenced adult-use sales at its Rochelle Park, New Jersey dispensary in April 2022.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Operational and Regulation Overview</w:t>
      </w:r>
    </w:p>
    <w:p>
      <w:pPr>
        <w:pStyle w:val="TextBody"/>
        <w:spacing w:lineRule="auto" w:line="288" w:before="0" w:after="180"/>
        <w:ind w:left="0" w:right="0" w:firstLine="720"/>
        <w:jc w:val="both"/>
        <w:rPr/>
      </w:pPr>
      <w:r>
        <w:rPr>
          <w:rFonts w:ascii="Times New Roman;sans-serif" w:hAnsi="Times New Roman;sans-serif"/>
          <w:b w:val="false"/>
          <w:color w:val="000000"/>
          <w:sz w:val="20"/>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of the Annual Report.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COVID-19 Pandemic</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COVID-19 has resulted in a worldwide health pandemic (the “Pandemic”) since it being declared as such in March 2020. COVID-19 and its variants continue to spread throughout the United States and other countries across the world, and the duration and severity of the Pandemic is currently unknown. We continue to implement and evaluate actions to strengthen our financial position and support the continuity of our business and operations in the face of this Pandemic and other events. Although our operations have not been materially affected to date, the ultimate severity of the Pandemic and its impact on the economic environment remains uncertain. We continue to generate operating cash flows to meet our short-term liquidity needs. The uncertain nature of the spread of COVID-19 may impact our business operations for reasons including the potential quarantine of our employees or those of our supply chain partners or a change in our designation as “essential” in states where we do business that currently or in the future impose restrictions on business operations.</w:t>
      </w:r>
    </w:p>
    <w:p>
      <w:pPr>
        <w:pStyle w:val="TextBody"/>
        <w:spacing w:lineRule="auto" w:line="288" w:before="0" w:after="120"/>
        <w:ind w:left="0" w:right="0" w:firstLine="720"/>
        <w:jc w:val="both"/>
        <w:rPr/>
      </w:pPr>
      <w:r>
        <w:rPr>
          <w:rFonts w:ascii="Times New Roman;sans-serif" w:hAnsi="Times New Roman;sans-serif"/>
          <w:b w:val="false"/>
          <w:color w:val="000000"/>
          <w:sz w:val="20"/>
        </w:rPr>
        <w:t>While the Pandemic has not had a material impact on our results of operations to date, given the uncertainties associated with the Pandemic, including those related to the use of our products by consumers, disruptions to the global and local economies due to related stay-at-home orders, quarantine policies, restrictions on travel, trade, and business operations, and a reduction in discretionary consumer spending, we are unable to estimate the future impact of the Pandemic on our business, financial condition, results of operations, and/or cash flows in future periods. We believe we have sufficient liquidity available from cash and cash equivalents on hand of $143,797 as of March 31, 2022 to enable us to meet our working capital and other operating requirements, fund growth initiatives and capital expenditures, settle our liabilities, and repay scheduled interest payments on debt. Refer to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for further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Key Financial Highlights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Revenue increased by $18,953, or 29%, during Q1 2022, as compared to Q1 2021, primarily driven by growth from our existing business as well as new site openings and acquisitions.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Operating loss of $14,780 during Q1 2022, as compared to $31,990 during Q1 2021, primarily due to a decrease in settlement expense, partially offset by a lower gross profit margin.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Net decrease in cash and cash equivalents of $11,684 during Q1 2022, primarily driven by lower proceeds from financing activities during the current year. </w:t>
      </w: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Three Months Ended March 31, 2022 Compared with the Three Months Ended March 31, 2021</w:t>
      </w:r>
    </w:p>
    <w:tbl>
      <w:tblPr>
        <w:tblW w:w="8669" w:type="dxa"/>
        <w:jc w:val="left"/>
        <w:tblInd w:w="0" w:type="dxa"/>
        <w:tblCellMar>
          <w:top w:w="28" w:type="dxa"/>
          <w:left w:w="28" w:type="dxa"/>
          <w:bottom w:w="28" w:type="dxa"/>
          <w:right w:w="28" w:type="dxa"/>
        </w:tblCellMar>
      </w:tblPr>
      <w:tblGrid>
        <w:gridCol w:w="1119"/>
        <w:gridCol w:w="983"/>
        <w:gridCol w:w="988"/>
        <w:gridCol w:w="109"/>
        <w:gridCol w:w="109"/>
        <w:gridCol w:w="109"/>
        <w:gridCol w:w="211"/>
        <w:gridCol w:w="796"/>
        <w:gridCol w:w="256"/>
        <w:gridCol w:w="109"/>
        <w:gridCol w:w="109"/>
        <w:gridCol w:w="109"/>
        <w:gridCol w:w="211"/>
        <w:gridCol w:w="796"/>
        <w:gridCol w:w="256"/>
        <w:gridCol w:w="109"/>
        <w:gridCol w:w="109"/>
        <w:gridCol w:w="109"/>
        <w:gridCol w:w="270"/>
        <w:gridCol w:w="1019"/>
        <w:gridCol w:w="139"/>
        <w:gridCol w:w="188"/>
        <w:gridCol w:w="188"/>
        <w:gridCol w:w="268"/>
      </w:tblGrid>
      <w:tr>
        <w:trPr/>
        <w:tc>
          <w:tcPr>
            <w:tcW w:w="111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 (Decrease)</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(36,470)</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profit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44.9 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(31,511)</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(5,928)</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(48,223)</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(20,408)</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c>
          <w:tcPr>
            <w:tcW w:w="6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$18,953, or 29%, during the three months ended March 31, 2022, as compared to the three months ended March 31, 2021, primarily driven by growth from our existing business, new site openings, and acquisitions. The current period also benefited from an increase in wholesale volume sold in Illinois, Massachusetts, and Michigan, partially offset by pricing pressure across the markets in which we operate. During the three months ended March 31, 2022, we recognized incremental revenue from acquisitions of $3,297, including $144 related to the Ohio cultivation site acquired during the second quarter of 2021. New dispensaries opened during 2021 contributed $18,726 to our revenue growth, which was partially offset by a decrease of revenue from existing dispensaries of $4,110. Additionally, increased production and sales from our cultivation and manufacturing sites contributed $1,040. As of March 31, 2022, we had 285 SKUs for our cultivation products, compared to 106 SKUs as of March 31, 2021.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Goods Sold and Gross Profit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increased by $25,173, or 69%, during the three months ended March 31, 2022, as compared to the three months ended March 31, 2021. Cost of goods sold represent direct and indirect expenses attributable to the production of wholesale products as well as direct expenses incurred in purchasing products from other wholesalers. The increase in cost of goods sold in the three months ended March 31, 2022 was driven by expansion of our operations, including $2,102 of incremental costs from acquisitions. Gross profit for the three months ended March 31, 2022 was $23,447, representing a gross margin of 27.6%, compared to gross profit of $29,667 and gross margin of 44.9% for the three months ended March 31, 2021. The decrease in gross margin was primarily driven by lower margins at our Massachusetts and Illinois cultivation facilities as staffing increased ahead of canopy expansions which resulted in higher production expenses, as well as pricing pressure across the markets in which we operate and a shift in product mix. Additionally, non-cash inventory adjustments were $1,454 higher than the prior year period due to write-offs of expired products and obsolete packaging materials. </w:t>
      </w:r>
    </w:p>
    <w:p>
      <w:pPr>
        <w:pStyle w:val="TextBody"/>
        <w:spacing w:before="0" w:after="24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$8,081, or 32%, during the three months ended March 31, 2022, as compared to the three months ended March 31, 2021. The increase was primarily related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$4,448 increase in compensation expense resulting from an increase in headcount from approximately 1,000 as of March 31, 2021 to approximately 1,600 as of March 31, 2022 to support our expanded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$1,947 increase in professional services, driven by higher legal expenses for ongoing litigation matters, partially offset by lower consulting, accounting, and tax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$818 loss on sale of assets related to the disposal of a property that was partially offset by a gain on termination of two operating leases;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$553 increase in rent and utilities to support the expansion of our operations;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$313 increase in depreciation and amortization expense due to $175 of incremental depreciation expense due to a larger average balance of fixed assets in service and $167 of incremental amortization of licenses that were acquired primarily in late 2020, partially offset by $29 of lower amortization from in-place leases.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Settlement Expense</w:t>
      </w:r>
    </w:p>
    <w:p>
      <w:pPr>
        <w:pStyle w:val="TextBody"/>
        <w:spacing w:lineRule="auto" w:line="288" w:before="0" w:after="180"/>
        <w:ind w:left="0" w:right="0" w:firstLine="720"/>
        <w:jc w:val="both"/>
        <w:rPr/>
      </w:pPr>
      <w:r>
        <w:rPr>
          <w:rFonts w:ascii="Times New Roman;sans-serif" w:hAnsi="Times New Roman;sans-serif"/>
          <w:b w:val="false"/>
          <w:color w:val="000000"/>
          <w:sz w:val="20"/>
        </w:rPr>
        <w:t>During the three months ended March 31, 2022, we recognized an expense of $5,000 related to the settlement of a stockholder dispute (refer to “</w:t>
      </w:r>
      <w:r>
        <w:rPr>
          <w:rFonts w:ascii="Times New Roman;sans-serif" w:hAnsi="Times New Roman;sans-serif"/>
          <w:b w:val="false"/>
          <w:i/>
          <w:color w:val="000000"/>
          <w:sz w:val="20"/>
        </w:rPr>
        <w:t>Management’s Discussion and Analysis of Financial Condition and Results of Operations - Legal Matters - Stockholder Dispute</w:t>
      </w:r>
      <w:r>
        <w:rPr>
          <w:color w:val="000000"/>
        </w:rPr>
        <w:t xml:space="preserve">” </w:t>
      </w:r>
      <w:r>
        <w:rPr>
          <w:rFonts w:ascii="Times New Roman;sans-serif" w:hAnsi="Times New Roman;sans-serif"/>
          <w:b w:val="false"/>
          <w:color w:val="000000"/>
          <w:sz w:val="20"/>
        </w:rPr>
        <w:t xml:space="preserve">for additional information). During the three months ended March 31, 2021, we recognized a settlement expense of $36,511 for a matter related to two property purchase agreements. </w:t>
      </w:r>
    </w:p>
    <w:p>
      <w:pPr>
        <w:pStyle w:val="TextBody"/>
        <w:spacing w:lineRule="auto" w:line="288" w:before="0" w:after="24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by $1,306, or 18%, during the three months ended March 31, 2022, as compared to the three months ended March 31, 2021, primarily driven by a lower average outstanding debt balance. During the three months ended March 31, 2022, the Company had a weighted-average outstanding debt balance of $241,649 with a weighted-average interest rate of 9.6%, compared to an average debt balance of $252,809 during three months ended March 31, 2021 with a weighted-average interest rate of 10.8%.</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statutory federal tax rate was 21% during both periods. During the three months ended March 31, 2022 and 2021, the Company had operations in five U.S. geographic markets: Illinois, Michigan, Ohio, Massachusetts, and New Jersey, which have state tax rates ranging from 6% to 11.5%. Certain states, including Michigan, do not align with IRC Section 280E for state tax purposes and permit the deduction of ordinary and necessary business expenses from gross profit in the calculation of state taxable income.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was $7,107, or 30.3% of gross profit, during the three months ended March 31, 2022, as compared to $8,976, or 30.3% of gross profit, during the three months ended March 31, 2021. There have been no material changes to income tax matters in connection with the normal course of operations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Gross Profit for the three months ended March 31, 2022 and 2021:</w:t>
      </w:r>
    </w:p>
    <w:tbl>
      <w:tblPr>
        <w:tblW w:w="8351" w:type="dxa"/>
        <w:jc w:val="left"/>
        <w:tblInd w:w="0" w:type="dxa"/>
        <w:tblCellMar>
          <w:top w:w="28" w:type="dxa"/>
          <w:left w:w="28" w:type="dxa"/>
          <w:bottom w:w="28" w:type="dxa"/>
          <w:right w:w="28" w:type="dxa"/>
        </w:tblCellMar>
      </w:tblPr>
      <w:tblGrid>
        <w:gridCol w:w="1840"/>
        <w:gridCol w:w="1618"/>
        <w:gridCol w:w="1626"/>
        <w:gridCol w:w="217"/>
        <w:gridCol w:w="744"/>
        <w:gridCol w:w="264"/>
        <w:gridCol w:w="112"/>
        <w:gridCol w:w="112"/>
        <w:gridCol w:w="112"/>
        <w:gridCol w:w="217"/>
        <w:gridCol w:w="744"/>
        <w:gridCol w:w="264"/>
        <w:gridCol w:w="109"/>
        <w:gridCol w:w="109"/>
        <w:gridCol w:w="109"/>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 in thousands)</w:t>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(1)</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(2)</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32,579 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Gross Margin</w:t>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42.9 </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49.3 </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spacing w:lineRule="auto" w:line="288" w:before="0" w:after="18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Primarily consists of write-offs of expired products and obsolete packaging.</w:t>
      </w:r>
    </w:p>
    <w:p>
      <w:pPr>
        <w:pStyle w:val="TextBody"/>
        <w:spacing w:before="0" w:after="18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Adjusted EBITDA for the three months ended March 31, 2022 and 2021:</w:t>
      </w:r>
    </w:p>
    <w:tbl>
      <w:tblPr>
        <w:tblW w:w="8418" w:type="dxa"/>
        <w:jc w:val="left"/>
        <w:tblInd w:w="0" w:type="dxa"/>
        <w:tblCellMar>
          <w:top w:w="28" w:type="dxa"/>
          <w:left w:w="28" w:type="dxa"/>
          <w:bottom w:w="28" w:type="dxa"/>
          <w:right w:w="28" w:type="dxa"/>
        </w:tblCellMar>
      </w:tblPr>
      <w:tblGrid>
        <w:gridCol w:w="1840"/>
        <w:gridCol w:w="1618"/>
        <w:gridCol w:w="1626"/>
        <w:gridCol w:w="211"/>
        <w:gridCol w:w="796"/>
        <w:gridCol w:w="256"/>
        <w:gridCol w:w="109"/>
        <w:gridCol w:w="109"/>
        <w:gridCol w:w="109"/>
        <w:gridCol w:w="211"/>
        <w:gridCol w:w="796"/>
        <w:gridCol w:w="256"/>
        <w:gridCol w:w="109"/>
        <w:gridCol w:w="109"/>
        <w:gridCol w:w="109"/>
        <w:gridCol w:w="154"/>
      </w:tblGrid>
      <w:tr>
        <w:trPr/>
        <w:tc>
          <w:tcPr>
            <w:tcW w:w="1840"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(48,223)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included in cost of goods sold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Non-cash inventory adjustments</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included in cost of goods sold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Start-up costs</w:t>
            </w:r>
            <w:r>
              <w:rPr>
                <w:rFonts w:ascii="Times New Roman;sans-serif" w:hAnsi="Times New Roman;sans-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Start-up costs included in cost of goods sold</w:t>
            </w:r>
            <w:r>
              <w:rPr>
                <w:rFonts w:ascii="Times New Roman;sans-serif" w:hAnsi="Times New Roman;sans-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Transaction-related and other non-recurring expenses</w:t>
            </w:r>
            <w:r>
              <w:rPr>
                <w:rFonts w:ascii="Times New Roman;sans-serif" w:hAnsi="Times New Roman;sans-serif"/>
                <w:b w:val="false"/>
                <w:color w:val="000000"/>
                <w:sz w:val="13"/>
              </w:rPr>
              <w:t>(4)</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23.9 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Primarily consists of write-offs of expired products and obsolete packaging.</w:t>
      </w:r>
    </w:p>
    <w:p>
      <w:pPr>
        <w:pStyle w:val="TextBody"/>
        <w:spacing w:lineRule="auto" w:line="288"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One-time costs associated with acquiring real estate, obtaining licenses and permits, and other costs incurred before commencement of operations at certain locations. </w:t>
      </w:r>
    </w:p>
    <w:p>
      <w:pPr>
        <w:pStyle w:val="TextBody"/>
        <w:spacing w:lineRule="auto" w:line="288"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Incremental expenses associated with the expansion of activities at our cultivation facilities that are not yet operating at scale, including excess overhead expenses resulting from delays in regulatory approvals at certain cultivation facilities.</w:t>
      </w:r>
      <w:r>
        <w:rPr>
          <w:color w:val="000000"/>
        </w:rPr>
        <w:t xml:space="preserve"> </w:t>
      </w:r>
    </w:p>
    <w:p>
      <w:pPr>
        <w:pStyle w:val="TextBody"/>
        <w:spacing w:lineRule="auto" w:line="288" w:before="0" w:after="18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Legal and professional fees associated with litigation matters, potential acquisitions, and other regulatory matters and other non-recurring expenses. The prior year includes expenses related to the Company’s IPO.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v:rect>
            </w:pict>
          </mc:Fallback>
        </mc:AlternateContent>
      </w:r>
    </w:p>
    <w:p>
      <w:pPr>
        <w:pStyle w:val="TextBody"/>
        <w:spacing w:before="0" w:after="180"/>
        <w:ind w:left="0" w:right="0" w:firstLine="720"/>
        <w:jc w:val="center"/>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Financing History and Future Capital Requirements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borrowed a $210,000 term loan, as further described below.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we had total current liabilities of $109,328 and $117,395, respectively, and total current assets of $260,552 and $258,012, respectively, which includes cash and cash equivalents of $143,797 and $155,481, respectively, to meet our current obligations. As of March 31, 2022, we had working capital of $151,224, compared to $140,617 as of December 31, 2021.</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98% and 97% of our cash and cash equivalents balance as of March 31, 2022 and December 31, 2021,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we had an accumulated deficit as of March 31, 2022 and December 31, 2021, as well as a net loss for the three months ended March 31, 2022 and 2021, and negative cash flows from operating activities during the three months ended March 31, 2022 and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 credit facility (the “2021 Credit Facility”) which provides for a $210,000 term loan that bears interest at a rate of 9.5% per annum, due quarterly. The term loan matures on August 27, 2025 and does not require amortization payments. Proceeds from the 2021 Credit Facility were used, in part, to prepay certain then-outstanding debt obligations. 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 and we may request to increase the 2021 Credit Facility up to $275,000 if the then-existing lenders (or other lenders) agree to provide such additional term loans.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2.25:1.00 for the period ending March 31, 2022, and less than 2.50:1.00 for the period ending June 30, 2022 and thereafter. The Company has a customary equity cure right for each of these financial covenants. The Company is in compliance with these covenants as of March 31, 2022. Refer to Note 11, “Debt,” in the Financial Statements for additional information.</w:t>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7046" w:type="dxa"/>
        <w:jc w:val="left"/>
        <w:tblInd w:w="0" w:type="dxa"/>
        <w:tblCellMar>
          <w:top w:w="28" w:type="dxa"/>
          <w:left w:w="28" w:type="dxa"/>
          <w:bottom w:w="28" w:type="dxa"/>
          <w:right w:w="28" w:type="dxa"/>
        </w:tblCellMar>
      </w:tblPr>
      <w:tblGrid>
        <w:gridCol w:w="1527"/>
        <w:gridCol w:w="1342"/>
        <w:gridCol w:w="1346"/>
        <w:gridCol w:w="239"/>
        <w:gridCol w:w="903"/>
        <w:gridCol w:w="123"/>
        <w:gridCol w:w="123"/>
        <w:gridCol w:w="123"/>
        <w:gridCol w:w="123"/>
        <w:gridCol w:w="239"/>
        <w:gridCol w:w="784"/>
        <w:gridCol w:w="174"/>
      </w:tblGrid>
      <w:tr>
        <w:trPr/>
        <w:tc>
          <w:tcPr>
            <w:tcW w:w="1527"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1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(35,203)</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by $2,416 during the three months ended March 31, 2022, as compared to the three months ended March 31, 2021. The increase was primarily driven by the timing of payments to suppliers and vendors, the timing and amount of income tax payments, and the timing of other working capital payments.</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$34,581 during the three months ended March 31, 2022, as compared to the three months ended March 31, 2021. The decrease was primarily due to lower cash investments in capital assets, partially offset by proceeds from the sale of assets during the current year and higher repayments of sellers’ notes related to prior year acquisitions.</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$817 during the three months ended March 31, 2022, as compared to net cash provided by financing activities of $48,214 during the three months ended March 31, 2021. The change was primarily driven by higher proceeds from the issuances of debt in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 and Contingencies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contractual obligations arising in the normal course of business primarily consist of long-term fixed rate debt and related interest payments, sellers’ notes, finance arrangements, and operating leases. We believe that cash flows from operations will be sufficient to satisfy our capital expenditures, debt services, working capital needs, and other contractual obligations for the next twelve months. In addition, we have the ability to request to borrow up to an additional $65,000 under the 2021 Credit Facility, subject to approval from the lenders.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material future contractual obligations as of March 31, 2022:</w:t>
      </w:r>
    </w:p>
    <w:tbl>
      <w:tblPr>
        <w:tblW w:w="10205" w:type="dxa"/>
        <w:jc w:val="left"/>
        <w:tblInd w:w="0" w:type="dxa"/>
        <w:tblCellMar>
          <w:top w:w="28" w:type="dxa"/>
          <w:left w:w="28" w:type="dxa"/>
          <w:bottom w:w="28" w:type="dxa"/>
          <w:right w:w="28" w:type="dxa"/>
        </w:tblCellMar>
      </w:tblPr>
      <w:tblGrid>
        <w:gridCol w:w="886"/>
        <w:gridCol w:w="775"/>
        <w:gridCol w:w="780"/>
        <w:gridCol w:w="109"/>
        <w:gridCol w:w="109"/>
        <w:gridCol w:w="109"/>
        <w:gridCol w:w="211"/>
        <w:gridCol w:w="826"/>
        <w:gridCol w:w="109"/>
        <w:gridCol w:w="109"/>
        <w:gridCol w:w="109"/>
        <w:gridCol w:w="109"/>
        <w:gridCol w:w="303"/>
        <w:gridCol w:w="1036"/>
        <w:gridCol w:w="158"/>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886"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u w:val="single"/>
              </w:rPr>
            </w:pPr>
            <w:r>
              <w:rPr>
                <w:rFonts w:ascii="Times New Roman;sans-serif" w:hAnsi="Times New Roman;sans-serif"/>
                <w:b w:val="false"/>
                <w:i/>
                <w:color w:val="000000"/>
                <w:sz w:val="16"/>
                <w:u w:val="single"/>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7"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Commitments Due by Period</w:t>
            </w:r>
          </w:p>
        </w:tc>
      </w:tr>
      <w:tr>
        <w:trPr/>
        <w:tc>
          <w:tcPr>
            <w:tcW w:w="2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2023 - 2024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2025 - 2026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Term note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Fixed interest related to term notes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Sellers’ Notes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Finance arrangements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leases</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24,060 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472,009 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4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obligations</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Principal payments due under our term notes payable. Refer to Note 11, “Debt”, in the Financial Statements for additional information.</w:t>
      </w:r>
    </w:p>
    <w:p>
      <w:pPr>
        <w:pStyle w:val="TextBody"/>
        <w:spacing w:lineRule="auto" w:line="288" w:before="0" w:after="6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fixed interest rate payments on borrowings under the 2021 Credit Facility based on the principal outstanding at March 31, 2022. Such amounts could fluctuate based on prepayments or additional amounts borrowed.</w:t>
      </w:r>
    </w:p>
    <w:p>
      <w:pPr>
        <w:pStyle w:val="TextBody"/>
        <w:spacing w:lineRule="auto" w:line="288" w:before="0" w:after="6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Consists of amounts owed for acquisitions or other purchases. Certain cash payments include an interest accretion component. Refer to Note 11, “Debt”, in the Financial Statements for additional information.</w:t>
      </w:r>
    </w:p>
    <w:p>
      <w:pPr>
        <w:pStyle w:val="TextBody"/>
        <w:spacing w:lineRule="auto" w:line="288" w:before="0" w:after="6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Reflects our contractual obligations to make future payments under non-cancelable operating leases that did not meet the criteria to qualify for sale-leaseback treatment. Refer to Note 10, “Leases”, in the Financial Statements for additional information.</w:t>
      </w:r>
    </w:p>
    <w:p>
      <w:pPr>
        <w:pStyle w:val="TextBody"/>
        <w:spacing w:lineRule="auto" w:line="288" w:before="0" w:after="60"/>
        <w:ind w:left="0" w:right="0" w:hanging="36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Reflects our contractual obligations to make future payments under non-cancelable operating leases. Refer to Note 10, “Leases”, in the Financial Statements for additional information.</w:t>
      </w:r>
    </w:p>
    <w:p>
      <w:pPr>
        <w:pStyle w:val="TextBody"/>
        <w:spacing w:lineRule="auto" w:line="288" w:before="0" w:after="180"/>
        <w:ind w:left="0" w:right="0" w:hanging="36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As of March 31, 2022, we entered into agreements to purchase one property in New York and one property in New Jersey for a combined total purchase price of $18,100, subject to closing adjustments. The closing of the properties is expected during 2022, but each is dependent on certain conditions, including inspection.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conjunction with the OCC acquisition (see Note 4, “Acquisitions,” in the Financial Statements)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do not have any off-balance sheet arrangements, as defined by applicable regulations of the United States Securities and Exchange Commission, that have, or are reasonably likely to have, a current or future effect on the results of our operations or financial condition, including, and without limitation, such considerations as liquidity and capital resources.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capital expenditures, net of tenant improvement allowances, of approximately $40,000 during the remainder of 2022. Changes to this estimate could result from the timing of various project start dates, which are subject to local and regulatory approvals. Cultivation-related spending includes ongoing maintenance and equipment for operational sites, as well as costs to complete the build outs of the facilities in Athol, Massachusetts and Lansing, Michigan, and the greenhouse at Barry, Illinois, all of which were substantially in progress during 2021. In 2022, we anticipate completing a second phase of cultivation expansion at our Franklin, New Jersey facility and further expanding to a third neighboring site. Spending at our cultivation and processing facilities includes: construction; purchase of capital equipment such as extraction equipment, heating, ventilation, and air conditioning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equipment, and other manufacturing equipment; general maintenance; and information technology capital expenditures. Dispensary-related capital expenditures includes general maintenance costs and upgrades to existing locations. In 2022, we anticipate the completion and opening of dispensaries in Fort Lee, New Jersey, New Bedford, Massachusetts, and East Lansing, Michigan. Total anticipated capital expenditures also includes estimated costs to build-out our Pennsylvania operations. Management expects to fund capital expenditures by utilizing cash flows from operations and reimbursements under tenant improvement allowances from sale leaseback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our construction in progress (“CIP”) balance was $15,731 and relates to capital spending on projects that were not yet complete. This balance includes: $3,605, $2,596, and $1,579 related to the expansion of our Ohio, New Jersey, and Michigan cultivation facilities, respectively; $1,412 related to certain projects at our Illinois cultivation facility; $554 related to the kitchen and lab expansion at our Massachusetts cultivation facility, and $5,985 related to other projects, including the build-out of dispensaries that were not yet open as of March 31, 2022.</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 total of 9,994 restricted common shares had been issued under the equity incentive plan approved in 2020 (the “2020 Plan”), of which 775 were unvested as of March 31, 2022. Total unrecognized compensation cost related to the restricted common shares was $206 as of March 31, 2022, which is expected to be recognized over the weighted-average remaining vesting period of 0.5 years.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March 31, 2022, there were 6,546 shares of Class A common stock available for grant for future equity-based compensation awards under the 2021 Plan.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the Company granted a total of 3,238 RSUs under the 2021 Plan. As of March 31, 2022, a total of 9,668 RSUs have been granted under the 2021 Plan, of which 5,804 are unvested as of March 31, 2022. Total unrecognized compensation cost related to the RSUs was $51,392 as of March 31, 2022, which is expected to be recognized over the weighted-average remaining vesting period of 2.0 years. Additionally, the Company granted a total of 1,331 options under the 2021 Plan, all of which are outstanding as of March 31, 2022 and none of which are exercisable. The outstanding options have a remaining weighted-average contractual life of 5.0 years as of March 31, 2022, and total unrecognized stock-based compensation expense related to unvested options was $2,590, which is expected to be recognized over a weighted-average remaining vesting period of 2.5 years.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equity-based compensation expense was $5,715 and $2,487 during the three months ended March 31, 2022 and 2021, respectively. Of the total equity-based compensation expense, $3,211 was capitalized to inventory during the three months ended March 31, 2022 and $4,030 and $4,814 remains capitalized as of March 31, 2022 and December 31, 2021, respectively. No equity-based compensation expense was capitalized during the three months ended March 31, 2021. During the three months ended March 31, 2022 and 2021, we recognized $2,504 and $2,487, respectively, within “General and administrative expenses” and $3,995 and none, respectively, within “Cost of goods sold” on the unaudited Condensed Consolidated Statements of Operations in the Financial Statements. Refer to Note 13, “Equity-Based Compensation Expense,” in the Financial Statements for additional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an employee stock purchase plan (the “2021 ESPP”), pursuant to which 4,000 shares of Class A common stock are reserved for issuance thereunder, subject to certain adjustments and other terms. As of March 31, 2022, no shares have been issued under the 2021 ESPP.</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Sale Leaseback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29, 2021, a wholly owned subsidiary of the Company entered into a definitive agreement for the sale of certain real estate and related assets of a commercial property located in New Bedford, Massachusetts to a third-party for a total purchase price is $350, subject to certain adjustments. The closing is subject to certain conditions, including entering into an operating lease with the third-party. The Company anticipates this transaction will be accounted for either a sale leaseback transaction or a finance liability, depending on the final lease terms.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sold and subsequently leased back one of its capital assets in Franklin, New Jersey for total proceeds of $35,400, excluding transaction costs. The transaction met the criteria for sale leaseback treatment. As such, the lease will be recorded as an operating lease and resulted in a lease liability of approximately $33,707 and an ROU asset of approximately $29,107, which was recorded net of a $4,600 tenant improvement allowance.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Stockholder Dispute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Mr. Kurtin, and the Claimants entered into a settlement agreement, dated April 29, 2022, whereby the Company agreed to pay the Claimants a total of $5,000. This amount is reflected in the Financial Statements within “Settlement expense” on the unaudited Condensed Consolidated Statements of Operations for the three months ended March 31, 2022 and within “Accounts payable and accrued liabilities” on the unaudited Condensed Consolidated Balance Sheet at March 31, 2022. The settlement was subsequently paid in May 2022.</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MedMen NY Litigation</w:t>
      </w:r>
    </w:p>
    <w:p>
      <w:pPr>
        <w:pStyle w:val="TextBody"/>
        <w:spacing w:lineRule="auto" w:line="288" w:before="0" w:after="180"/>
        <w:ind w:left="0" w:right="0" w:firstLine="720"/>
        <w:jc w:val="both"/>
        <w:rPr/>
      </w:pPr>
      <w:r>
        <w:rPr>
          <w:rFonts w:ascii="Times New Roman;sans-serif" w:hAnsi="Times New Roman;sans-serif"/>
          <w:b w:val="false"/>
          <w:color w:val="000000"/>
          <w:sz w:val="20"/>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provides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w:t>
      </w:r>
      <w:r>
        <w:rPr>
          <w:color w:val="000000"/>
        </w:rPr>
        <w:t xml:space="preserve"> </w:t>
      </w:r>
      <w:r>
        <w:rPr>
          <w:rFonts w:ascii="Times New Roman;sans-serif" w:hAnsi="Times New Roman;sans-serif"/>
          <w:b w:val="false"/>
          <w:color w:val="000000"/>
          <w:sz w:val="20"/>
        </w:rPr>
        <w:t xml:space="preserve">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MMNY, which investment would also be used to repay MMNY’s senior secured lender, if adult-use cannabis sales commenced in MMNY’s dispensaries.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promptly as required by the Investment Agreement. Nevertheless, MedMen, on January 2, 2022, gave notice to the Company that MedMen purported to terminate the Investment Agreement.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not only seeking 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10, 2022, the Company and MedMen signed a term sheet to settle the matter. The parties agreed to amend certain terms in the Investment Agreement, the Company agreed to pay MedMen $15,000 in additional transaction consideration, and MedMen agreed to withdraw its counterclaims against the Company. Per the amended transaction terms, upon closing, the Company will receive a 99.99% controlling interest of MMNY and the Company will pay MedMen $74,000, which reflects the original transaction consideration plus an additional $11,000 per the parties’ term sheet. The Company has already paid $4,000 as a deposit. The Company will make a subsequent payment of $14,000 upon the first sale of recreational cannabis in a MMNY dispensary, which reflects the initial transaction earn-out of $10,000 plus an additional $4,000. MedMen will be responsible for a $35,000 break fee if the parties do not close within thirty (30) days of the execution of the settlement agreement and amended Investment Agreement. The break fee shall be in addition to all other applicable equitable and legal remedies, including specific performance. There will be no additional earn-outs and no assumption of debt.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Subsequent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April 19, 2022, the Company acquired Story of PA CR, LLC (“Story”). Total consideration for the acquisition of the outstanding equity interests in Story was approximately $53,100, consisting of 12,900 shares of Class A common stock with a fair value of approximately $42,900 and cash consideration of approximately $10,200. Story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Story intends to open a cultivation and processing facility and up to six medical dispensaries throughout the Commonwealth of Pennsylvania. The Company will help fund clinical research to benefit the patients of Pennsylvania by contributing $30,000 to Geisinger over the next two years (of which $15,000 was funded in April 2022), and up to an additional $10,000 over the next ten years. The Company is evaluating the accounting impact of the transaction, but expects the transaction will be accounted for as an asset purchase.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accompanying Financial Statements are prepared in accordance with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There have been no significant changes to our critical accounting policies and estimates. For a description of our critical accounting policies, see Item 7., “Management’s Discussion and Analysis of Financial Condition and Results of Operations,” in our Annual Report.</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v:rect>
            </w:pict>
          </mc:Fallback>
        </mc:AlternateContent>
      </w:r>
    </w:p>
    <w:p>
      <w:pPr>
        <w:pStyle w:val="TextBody"/>
        <w:spacing w:before="0" w:after="180"/>
        <w:ind w:left="0" w:right="0" w:firstLine="720"/>
        <w:jc w:val="center"/>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Recently Adopted Accounting Standards and Recently Issued Accounting Pronouncements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about our recently adopted accounting standards and recently issued accounting standards not yet adopted, see Note 2, “Basis of Presentation and Significant Accounting Policies,” to the Financial Statements.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ENVIRONMENT: ISSUERS WITH UNITED STATES CANNABIS-RELATED ASSETS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Securities and Exchange Commission and with the relevant Canadian securities regulatory authorities under its profile on SEDAR.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in varying degrees to various market risks, including changes in interest rates, prices of raw materials, and other financial instrument related risks. There have been no significant changes related to market risk, including those relating to the COVID-19 pandemic, from the disclosures in our Annual Report.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Liquidity Risk</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reflected in the Financial Statements, the Company had an accumulated deficit as of March 31, 2022 and December 31, 2021, as well as a net loss for the three months ended March 31, 2022 and 2021, and negative cash flows from operating activities during the three months ended March 31, 2022 and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and gross profit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v:rect>
            </w:pict>
          </mc:Fallback>
        </mc:AlternateContent>
      </w:r>
    </w:p>
    <w:p>
      <w:pPr>
        <w:pStyle w:val="TextBody"/>
        <w:spacing w:before="0" w:after="180"/>
        <w:ind w:left="0" w:right="0" w:firstLine="720"/>
        <w:jc w:val="both"/>
        <w:rPr/>
      </w:pPr>
      <w:r>
        <w:rPr/>
      </w: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a.Disclosure Controls and Procedures.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our Principal Executive Officer and Principal Financial Officer evaluated our disclosure controls and procedures, as such term is defined in Rule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United States Securities and Exchange Commission and (2) accumulated and communicated to our management, including our Principal Executive Officer and Principal Financial Officer, to allow timely decisions regarding required disclosure. </w:t>
      </w:r>
    </w:p>
    <w:p>
      <w:pPr>
        <w:pStyle w:val="TextBody"/>
        <w:spacing w:lineRule="auto" w:line="288" w:before="0" w:after="240"/>
        <w:ind w:left="0" w:right="0" w:hanging="360"/>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A discussion of our litigation matters occurring in the period covered by this report is found in </w:t>
      </w:r>
      <w:hyperlink w:anchor="i10f7ec6266a548d3bd9910e8a2d342e7_85">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 “Commitments and Contingencies,” to the Financial Statements in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filing, there have been no material changes in our risk factors from those disclosed in our Annual Report on Form 10-K for the year ended December 31, 2021, in response to Item 1A., “Risk Factors,” of Part I of the Annual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60"/>
        <w:ind w:left="0" w:right="0" w:firstLine="720"/>
        <w:rPr>
          <w:rFonts w:ascii="Times New Roman;sans-serif" w:hAnsi="Times New Roman;sans-serif"/>
          <w:b/>
          <w:color w:val="000000"/>
          <w:sz w:val="20"/>
        </w:rPr>
      </w:pPr>
      <w:r>
        <w:rPr>
          <w:rFonts w:ascii="Times New Roman;sans-serif" w:hAnsi="Times New Roman;sans-serif"/>
          <w:b/>
          <w:color w:val="000000"/>
          <w:sz w:val="20"/>
        </w:rPr>
        <w:t>(a) EXHIBIT INDEX</w:t>
      </w:r>
    </w:p>
    <w:tbl>
      <w:tblPr>
        <w:tblW w:w="10205" w:type="dxa"/>
        <w:jc w:val="center"/>
        <w:tblInd w:w="0" w:type="dxa"/>
        <w:tblCellMar>
          <w:top w:w="28" w:type="dxa"/>
          <w:left w:w="28" w:type="dxa"/>
          <w:bottom w:w="28" w:type="dxa"/>
          <w:right w:w="28" w:type="dxa"/>
        </w:tblCellMar>
      </w:tblPr>
      <w:tblGrid>
        <w:gridCol w:w="262"/>
        <w:gridCol w:w="230"/>
        <w:gridCol w:w="232"/>
        <w:gridCol w:w="109"/>
        <w:gridCol w:w="109"/>
        <w:gridCol w:w="109"/>
        <w:gridCol w:w="1873"/>
        <w:gridCol w:w="1675"/>
        <w:gridCol w:w="1683"/>
        <w:gridCol w:w="109"/>
        <w:gridCol w:w="109"/>
        <w:gridCol w:w="109"/>
        <w:gridCol w:w="170"/>
        <w:gridCol w:w="170"/>
        <w:gridCol w:w="171"/>
        <w:gridCol w:w="109"/>
        <w:gridCol w:w="109"/>
        <w:gridCol w:w="109"/>
        <w:gridCol w:w="250"/>
        <w:gridCol w:w="250"/>
        <w:gridCol w:w="232"/>
        <w:gridCol w:w="109"/>
        <w:gridCol w:w="109"/>
        <w:gridCol w:w="109"/>
        <w:gridCol w:w="210"/>
        <w:gridCol w:w="210"/>
        <w:gridCol w:w="211"/>
        <w:gridCol w:w="109"/>
        <w:gridCol w:w="109"/>
        <w:gridCol w:w="109"/>
        <w:gridCol w:w="215"/>
        <w:gridCol w:w="215"/>
        <w:gridCol w:w="311"/>
      </w:tblGrid>
      <w:tr>
        <w:trPr/>
        <w:tc>
          <w:tcPr>
            <w:tcW w:w="26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675"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Incorporated by Reference</w:t>
            </w:r>
          </w:p>
        </w:tc>
      </w:tr>
      <w:tr>
        <w:trPr/>
        <w:tc>
          <w:tcPr>
            <w:tcW w:w="7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File No.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Exhibit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Filing Date</w:t>
            </w:r>
          </w:p>
        </w:tc>
      </w:tr>
      <w:tr>
        <w:trPr/>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7"/>
                  <w:u w:val="single"/>
                </w:rPr>
                <w:t>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7"/>
                  <w:u w:val="single"/>
                </w:rPr>
                <w:t>Bylaws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7"/>
                  <w:u w:val="single"/>
                </w:rPr>
                <w:t>Ascend Wellness Holdings, Inc. 2021 Stock Incentive Plan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333-257780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July 9, 2021</w:t>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7"/>
                  <w:u w:val="single"/>
                </w:rPr>
                <w:t xml:space="preserve">Ascend Wellness Holdings, Inc. 2021 Employee Stock Purchase Plan </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333-257780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July 9, 2021</w:t>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7"/>
                  <w:u w:val="single"/>
                </w:rPr>
                <w:t xml:space="preserve">Specimen Stock Certificate evidencing the shares of common stock </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15, 2021</w:t>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17"/>
                  <w:u w:val="single"/>
                </w:rPr>
                <w:t>Form of Registration Rights Agreement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23, 2021</w:t>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101-03312022.htm">
              <w:r>
                <w:rPr>
                  <w:rStyle w:val="InternetLink"/>
                  <w:rFonts w:ascii="Times New Roman;sans-serif" w:hAnsi="Times New Roman;sans-serif"/>
                  <w:b w:val="false"/>
                  <w:color w:val="0000FF"/>
                  <w:sz w:val="17"/>
                  <w:u w:val="single"/>
                </w:rPr>
                <w:t>Employment Agreement between Ascend Wellness Holdings, Inc. and Francis Perullo, dated as of February 11,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102-03312022.htm">
              <w:r>
                <w:rPr>
                  <w:rStyle w:val="InternetLink"/>
                  <w:rFonts w:ascii="Times New Roman;sans-serif" w:hAnsi="Times New Roman;sans-serif"/>
                  <w:b w:val="false"/>
                  <w:color w:val="0000FF"/>
                  <w:sz w:val="17"/>
                  <w:u w:val="single"/>
                </w:rPr>
                <w:t>Employment Agreement between Ascend Wellness Holdings, Inc. and Robin Debiase, dated as of March 1,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7"/>
                  <w:u w:val="single"/>
                </w:rPr>
                <w:t>Agreement and Plan of Merger among Ascend Wellness Holdings, Inc., AWH Pennsylvania, LLC, Ascend PA Merger Sub, LLC, Story of PA CR, LLC, the Members named therein and KGF PACR HoldCo, LLC, dated April 19, 2022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333-254800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April 25, 2022</w:t>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1-03312022.htm">
              <w:r>
                <w:rPr>
                  <w:rStyle w:val="InternetLink"/>
                  <w:rFonts w:ascii="Times New Roman;sans-serif" w:hAnsi="Times New Roman;sans-serif"/>
                  <w:b w:val="false"/>
                  <w:color w:val="0000FF"/>
                  <w:sz w:val="17"/>
                  <w:u w:val="single"/>
                </w:rPr>
                <w:t>Certification of Periodic Report by Principal Executive Officer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12-03312022.htm">
              <w:r>
                <w:rPr>
                  <w:rStyle w:val="InternetLink"/>
                  <w:rFonts w:ascii="Times New Roman;sans-serif" w:hAnsi="Times New Roman;sans-serif"/>
                  <w:b w:val="false"/>
                  <w:color w:val="0000FF"/>
                  <w:sz w:val="17"/>
                  <w:u w:val="single"/>
                </w:rPr>
                <w:t>Certification of Periodic Report by Principal Financial Officer under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03312022.htm">
              <w:r>
                <w:rPr>
                  <w:rStyle w:val="InternetLink"/>
                  <w:rFonts w:ascii="Times New Roman;sans-serif" w:hAnsi="Times New Roman;sans-serif"/>
                  <w:b w:val="false"/>
                  <w:color w:val="0000FF"/>
                  <w:sz w:val="17"/>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Taxonomy Label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Inline XBRL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Indicates management contract or compensatory plan, contract or arrangement.</w:t>
      </w:r>
    </w:p>
    <w:p>
      <w:pPr>
        <w:pStyle w:val="TextBody"/>
        <w:spacing w:lineRule="auto" w:line="288" w:before="0" w:after="120"/>
        <w:ind w:left="0" w:right="0" w:hanging="360"/>
        <w:jc w:val="both"/>
        <w:rPr>
          <w:color w:val="000000"/>
        </w:rPr>
      </w:pPr>
      <w:r>
        <w:rPr>
          <w:color w:val="000000"/>
        </w:rPr>
        <w:t>‡    </w:t>
      </w:r>
      <w:r>
        <w:rPr>
          <w:rFonts w:ascii="Times New Roman;sans-serif" w:hAnsi="Times New Roman;sans-serif"/>
          <w:b w:val="false"/>
          <w:color w:val="000000"/>
          <w:sz w:val="16"/>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Portions of this exhibit have been redacted in compliance with Regulations S-K Item 601(b)(2). The omitted information is not material and would likely cause competitive harm to the Company if publicly disclosed. The Company agrees to furnish an unredacted copy to the SEC upon its request. </w:t>
      </w:r>
    </w:p>
    <w:p>
      <w:pPr>
        <w:pStyle w:val="TextBody"/>
        <w:spacing w:lineRule="auto" w:line="288" w:before="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Certain schedules and exhibits have been omitted in compliance with Regulation S-K Item 601(a)(5). The Company agrees to furnish a copy of any omitted schedule or exhibit to the SEC upon its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v:rect>
            </w:pict>
          </mc:Fallback>
        </mc:AlternateContent>
      </w:r>
    </w:p>
    <w:p>
      <w:pPr>
        <w:pStyle w:val="TextBody"/>
        <w:spacing w:before="0" w:after="180"/>
        <w:ind w:left="0" w:right="0" w:firstLine="720"/>
        <w:jc w:val="both"/>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346" w:type="dxa"/>
        <w:jc w:val="left"/>
        <w:tblInd w:w="0" w:type="dxa"/>
        <w:tblCellMar>
          <w:top w:w="28" w:type="dxa"/>
          <w:left w:w="28" w:type="dxa"/>
          <w:bottom w:w="28" w:type="dxa"/>
          <w:right w:w="28" w:type="dxa"/>
        </w:tblCellMar>
      </w:tblPr>
      <w:tblGrid>
        <w:gridCol w:w="456"/>
        <w:gridCol w:w="400"/>
        <w:gridCol w:w="403"/>
        <w:gridCol w:w="109"/>
        <w:gridCol w:w="109"/>
        <w:gridCol w:w="109"/>
        <w:gridCol w:w="807"/>
        <w:gridCol w:w="807"/>
        <w:gridCol w:w="1146"/>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Ascend Wellness Holdings, Inc.</w:t>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Neville</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br/>
              <w:t xml:space="preserve">Chief Financial Officer </w:t>
              <w:br/>
              <w:t>(Principal Financial Officer)</w:t>
            </w:r>
          </w:p>
        </w:tc>
      </w:tr>
    </w:tbl>
    <w:tbl>
      <w:tblPr>
        <w:tblW w:w="4196" w:type="dxa"/>
        <w:jc w:val="left"/>
        <w:tblInd w:w="0" w:type="dxa"/>
        <w:tblCellMar>
          <w:top w:w="28" w:type="dxa"/>
          <w:left w:w="28" w:type="dxa"/>
          <w:bottom w:w="28" w:type="dxa"/>
          <w:right w:w="28" w:type="dxa"/>
        </w:tblCellMar>
      </w:tblPr>
      <w:tblGrid>
        <w:gridCol w:w="456"/>
        <w:gridCol w:w="400"/>
        <w:gridCol w:w="403"/>
        <w:gridCol w:w="109"/>
        <w:gridCol w:w="109"/>
        <w:gridCol w:w="109"/>
        <w:gridCol w:w="763"/>
        <w:gridCol w:w="763"/>
        <w:gridCol w:w="1084"/>
      </w:tblGrid>
      <w:tr>
        <w:trPr/>
        <w:tc>
          <w:tcPr>
            <w:tcW w:w="45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199"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Roman Nemchenko</w:t>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Roman Nemchenko</w:t>
              <w:br/>
              <w:t xml:space="preserve">Senior Vice President, </w:t>
              <w:br/>
              <w:t>Chief Accounting Officer</w:t>
              <w:br/>
              <w:t>(Principal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AMENDED AND RESTATED EMPLOYMENT AGREEMENT</w:t>
      </w:r>
    </w:p>
    <w:p>
      <w:pPr>
        <w:pStyle w:val="TextBody"/>
        <w:spacing w:lineRule="auto" w:line="288" w:before="0" w:after="180"/>
        <w:ind w:left="0" w:right="0" w:firstLine="720"/>
        <w:rPr/>
      </w:pPr>
      <w:r>
        <w:rPr>
          <w:rFonts w:ascii="Times New Roman;sans-serif" w:hAnsi="Times New Roman;sans-serif"/>
          <w:b w:val="false"/>
          <w:color w:val="000000"/>
          <w:sz w:val="24"/>
        </w:rPr>
        <w:t>This Amended and Restated Employment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February 11, 2022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and entered into by and between Ascend Wellness Holdings, Inc., a Delaware corporation with a principal place of business at 1411 Broadway, 16th Floor, New York, NY 10018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Francis Perullo, an individual whose principal business address is in care of the Company at 1411 Broadway, 16th Floor, New York, NY 10018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xml:space="preserve">). </w: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spacing w:lineRule="auto" w:line="288" w:before="0" w:after="180"/>
        <w:ind w:left="0" w:right="0" w:firstLine="720"/>
        <w:rPr/>
      </w:pPr>
      <w:r>
        <w:rPr>
          <w:rFonts w:ascii="Times New Roman;sans-serif" w:hAnsi="Times New Roman;sans-serif"/>
          <w:b w:val="false"/>
          <w:color w:val="000000"/>
          <w:sz w:val="24"/>
        </w:rPr>
        <w:t>WHEREAS, the Executive and the Company previously entered into that certain Employment Agreement, dated March 23, 2021 (the “</w:t>
      </w:r>
      <w:r>
        <w:rPr>
          <w:rFonts w:ascii="Times New Roman;sans-serif" w:hAnsi="Times New Roman;sans-serif"/>
          <w:b w:val="false"/>
          <w:color w:val="000000"/>
          <w:sz w:val="24"/>
          <w:u w:val="single"/>
        </w:rPr>
        <w:t>Original Employment Agreement</w:t>
      </w:r>
      <w:r>
        <w:rPr>
          <w:color w:val="000000"/>
        </w:rPr>
        <w:t>”</w:t>
      </w:r>
      <w:r>
        <w:rPr>
          <w:rFonts w:ascii="Times New Roman;sans-serif" w:hAnsi="Times New Roman;sans-serif"/>
          <w:b w:val="false"/>
          <w:color w:val="000000"/>
          <w:sz w:val="24"/>
        </w:rPr>
        <w:t xml:space="preserve">); </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Executive and the Company have agreed that the Executive will serve as the President of the Company as of the date hereof and, in connection with the Executive’s election as President, the Executive and the Company desire to amend, restate and supersede the Original Employment Agreement; and</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memorialize the terms of the Executive’s employment as President, on the terms and conditions hereinafter set forth.</w: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AGREEMENT</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premises and the mutual promises, terms, provisions and conditions set forth in this Agreement, the parties hereby agree:</w:t>
      </w:r>
    </w:p>
    <w:p>
      <w:pPr>
        <w:pStyle w:val="TextBody"/>
        <w:spacing w:lineRule="auto" w:line="288" w:before="0" w:after="18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 Subject to the terms and conditions set forth in this Agreement, the Company hereby offers, and the Executive hereby accepts, continued employment as President of the Company.</w:t>
      </w:r>
    </w:p>
    <w:p>
      <w:pPr>
        <w:pStyle w:val="TextBody"/>
        <w:spacing w:lineRule="auto" w:line="288" w:before="0" w:after="18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Subject to earlier termination as hereinafter provided, the Executive’s employment hereunder shall commence on the Effective Date with an initial term ending on March 22, 2024. This Agreement shall be automatically extended for successive terms of one (1) year thereafter, unless either the Company or the Executive provides notice (a “</w:t>
      </w:r>
      <w:r>
        <w:rPr>
          <w:rFonts w:ascii="Times New Roman;sans-serif" w:hAnsi="Times New Roman;sans-serif"/>
          <w:b w:val="false"/>
          <w:color w:val="000000"/>
          <w:sz w:val="24"/>
          <w:u w:val="single"/>
        </w:rPr>
        <w:t>Non-Renewal Notice</w:t>
      </w:r>
      <w:r>
        <w:rPr>
          <w:color w:val="000000"/>
        </w:rPr>
        <w:t>”</w:t>
      </w:r>
      <w:r>
        <w:rPr>
          <w:rFonts w:ascii="Times New Roman;sans-serif" w:hAnsi="Times New Roman;sans-serif"/>
          <w:b w:val="false"/>
          <w:color w:val="000000"/>
          <w:sz w:val="24"/>
        </w:rPr>
        <w:t>) to the other at least 90 days prior to expiration of the initial or any extension term that the Executive’s employment hereunder is not to be so extended. The term of this Agreement, as from time to time extended or renewed, is hereafter referred to as “the term of this Agreement” or “the term hereof.”</w:t>
      </w:r>
    </w:p>
    <w:p>
      <w:pPr>
        <w:pStyle w:val="TextBody"/>
        <w:spacing w:lineRule="auto" w:line="288" w:before="0" w:after="18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Capacity and Performance</w:t>
      </w:r>
      <w:r>
        <w:rPr>
          <w:rFonts w:ascii="Times New Roman;sans-serif" w:hAnsi="Times New Roman;sans-serif"/>
          <w:b w:val="false"/>
          <w:color w:val="000000"/>
          <w:sz w:val="24"/>
        </w:rPr>
        <w:t>.</w:t>
      </w:r>
    </w:p>
    <w:p>
      <w:pPr>
        <w:pStyle w:val="TextBody"/>
        <w:spacing w:lineRule="auto" w:line="288" w:before="0" w:after="180"/>
        <w:rPr/>
      </w:pPr>
      <w:r>
        <w:rPr>
          <w:rFonts w:ascii="Times New Roman;sans-serif" w:hAnsi="Times New Roman;sans-serif"/>
          <w:b w:val="false"/>
          <w:color w:val="000000"/>
          <w:sz w:val="24"/>
        </w:rPr>
        <w:t>(a)During the term hereof, the Executive shall serve the Company as President, reporting directly to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(b)During the term hereof, the Executive shall be employed by the Company on a full-time and diligent basis and shall perform such duties and responsibilities on behalf of the Company as are customarily performed by a President of a company of comparable size and as may be reasonably designated from time to time by the Board.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(c)During the term hereof, for so long as the Executive is employed as the Company’s President, the Company will nominate the Executive for re-election to the Board and the Executive shall serve in such other officer and/or director positions with any affiliate of the Company (for no additional compensation) as may be determined by the Board (excluding the Executive) from time to time. For purposes of this Agreement, an “affiliate” of the Company shall mean any person or entity that that directly or indirectly controls, or is under common control with, or is controlled by, the Company, and as used in this definition, “control” (including, with its correlative meanings, “controlled by” and “under common control with”) shall mean possession, directly or indirectly, of power to direct or cause the direction of management or policies (whether through ownership of voting equity interests, by contract or otherwise). </w:t>
      </w:r>
    </w:p>
    <w:p>
      <w:pPr>
        <w:pStyle w:val="TextBody"/>
        <w:spacing w:lineRule="auto" w:line="288" w:before="0" w:after="180"/>
        <w:rPr/>
      </w:pPr>
      <w:r>
        <w:rPr>
          <w:rFonts w:ascii="Times New Roman;sans-serif" w:hAnsi="Times New Roman;sans-serif"/>
          <w:b w:val="false"/>
          <w:color w:val="000000"/>
          <w:sz w:val="24"/>
        </w:rPr>
        <w:t xml:space="preserve">(d)During the term hereof, the Executive shall not, directly or indirectly, render any services of a business, commercial or professional nature to any person or entity other than the Company (or any affiliate thereof), whether for compensation or otherwise, without the prior written consent of the Board (excluding the Executive), which shall not be unreasonably withheld. For the avoidance of doubt, notwithstanding the foregoing, the Executive may (i) engage in the activities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so long as such activities do not (A) individually or in the aggregate, interfere with the performance of the Executive’s duties under this Agreement and (B) materially change in nature or scope of the Executive’s engagement after the Effective Date, in which case the Executive shall not be permitted to continue such engagement without the prior written consent of the Board (excluding the Executive)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in any way with the Company or any of its affiliates. </w:t>
      </w:r>
    </w:p>
    <w:p>
      <w:pPr>
        <w:pStyle w:val="TextBody"/>
        <w:spacing w:lineRule="auto" w:line="288" w:before="0" w:after="18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 As compensation for all services performed by the Executive under this Agreement and during the term hereof and subject to performance of the Executive’s duties and obligations to the Company pursuant to this Agreement:</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Company shall pay the Executive a base salary at the rate of $750,000 per annum. The Executive’s base salary shall be payable in accordance with the payroll practices of the Company for its executives and subject to increase from time to time by the Board (excluding the Executive), in its sole discretion. The base salary set forth in this Section 4(a), as from time to time increased, is hereafter referred to as the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Annual Bonus Compensation</w:t>
      </w:r>
      <w:r>
        <w:rPr>
          <w:rFonts w:ascii="Times New Roman;sans-serif" w:hAnsi="Times New Roman;sans-serif"/>
          <w:b w:val="false"/>
          <w:color w:val="000000"/>
          <w:sz w:val="24"/>
        </w:rPr>
        <w:t>. For each fiscal year that ends during the term hereof, the Executive shall be eligible to earn an annual bonus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The Executive’s annual target bonus opportunity for each such fiscal year shall be equal to 100% of Base Salary (the “</w:t>
      </w:r>
      <w:r>
        <w:rPr>
          <w:rFonts w:ascii="Times New Roman;sans-serif" w:hAnsi="Times New Roman;sans-serif"/>
          <w:b w:val="false"/>
          <w:color w:val="000000"/>
          <w:sz w:val="24"/>
          <w:u w:val="single"/>
        </w:rPr>
        <w:t>Target Bonus</w:t>
      </w:r>
      <w:r>
        <w:rPr>
          <w:color w:val="000000"/>
        </w:rPr>
        <w:t>”</w:t>
      </w:r>
      <w:r>
        <w:rPr>
          <w:rFonts w:ascii="Times New Roman;sans-serif" w:hAnsi="Times New Roman;sans-serif"/>
          <w:b w:val="false"/>
          <w:color w:val="000000"/>
          <w:sz w:val="24"/>
        </w:rPr>
        <w:t>), based on the achievement of target performance goals established by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xml:space="preserve">). If the Company and/or the Executive achieves superior performance goals established by the Compensation Committee for any fiscal year, then the Executive shall be eligible to earn 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additional 100% of Base Salary as part of his Annual Bonus for such fiscal year, for total Annual Bonus eligibility of 200% of Base Salary (the “</w:t>
      </w:r>
      <w:r>
        <w:rPr>
          <w:rFonts w:ascii="Times New Roman;sans-serif" w:hAnsi="Times New Roman;sans-serif"/>
          <w:b w:val="false"/>
          <w:color w:val="000000"/>
          <w:sz w:val="24"/>
          <w:u w:val="single"/>
        </w:rPr>
        <w:t>Maximum Annual Bonus</w:t>
      </w:r>
      <w:r>
        <w:rPr>
          <w:color w:val="000000"/>
        </w:rPr>
        <w:t>”</w:t>
      </w:r>
      <w:r>
        <w:rPr>
          <w:rFonts w:ascii="Times New Roman;sans-serif" w:hAnsi="Times New Roman;sans-serif"/>
          <w:b w:val="false"/>
          <w:color w:val="000000"/>
          <w:sz w:val="24"/>
        </w:rPr>
        <w:t xml:space="preserve">). If threshold performance goals are not achieved for any fiscal year, then the Executive shall not receive an Annual Bonus for such fiscal year. The Annual Bonus, if any, will be paid within thirty (30) days after the Board’s approval of the Company’s and its subsidiaries’ consolidated audited financial statements for the fiscal year to which such Annual Bonus relates (and in all events in the fiscal year immediately following the fiscal year to which such Annual Bonus relates). </w: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Bonus upon Change of Control Event</w:t>
      </w:r>
      <w:r>
        <w:rPr>
          <w:rFonts w:ascii="Times New Roman;sans-serif" w:hAnsi="Times New Roman;sans-serif"/>
          <w:b w:val="false"/>
          <w:color w:val="000000"/>
          <w:sz w:val="24"/>
        </w:rPr>
        <w:t>. Upon the consummation of a change of control (as defined in the 2021 Incentive Plan), and concurrent with the payment of any consideration to any other holders of capital stock of the Company in connection with such change of control, the Executive shall be deemed to have earned the Maximum Annual Bonus (the “</w:t>
      </w:r>
      <w:r>
        <w:rPr>
          <w:rFonts w:ascii="Times New Roman;sans-serif" w:hAnsi="Times New Roman;sans-serif"/>
          <w:b w:val="false"/>
          <w:color w:val="000000"/>
          <w:sz w:val="24"/>
          <w:u w:val="single"/>
        </w:rPr>
        <w:t>Change in Control Bonus</w:t>
      </w:r>
      <w:r>
        <w:rPr>
          <w:color w:val="000000"/>
        </w:rPr>
        <w:t>”</w:t>
      </w:r>
      <w:r>
        <w:rPr>
          <w:rFonts w:ascii="Times New Roman;sans-serif" w:hAnsi="Times New Roman;sans-serif"/>
          <w:b w:val="false"/>
          <w:color w:val="000000"/>
          <w:sz w:val="24"/>
        </w:rPr>
        <w:t>) for each fiscal year during the remainder of the Term (inclusive of partial fiscal years). Notwithstanding anything to the contrary contained herein, the obligations of the Company to pay the Change of Control Bonus to Executive shall survive any termination of this Agreement by reason of death, disability or termination of employment of Executive without limitation, except that the Company’s obligation to pay the Change of Control Bonus shall terminate concurrently with any termination of Executive’s employment for Cause (as defined in Section 5(c) below).</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Equity Incentives</w:t>
      </w:r>
      <w:r>
        <w:rPr>
          <w:rFonts w:ascii="Times New Roman;sans-serif" w:hAnsi="Times New Roman;sans-serif"/>
          <w:b w:val="false"/>
          <w:color w:val="000000"/>
          <w:sz w:val="24"/>
        </w:rPr>
        <w:t>. Subject to the approval of the Board (excluding the Executive), on or as soon as reasonably practicable after the Effective Date, the Executive will be granted 375,000 Restricted Stock Units pursuant to and as defined in the Company’s 2021 Equity Incentive Plan (the “</w:t>
      </w:r>
      <w:r>
        <w:rPr>
          <w:rFonts w:ascii="Times New Roman;sans-serif" w:hAnsi="Times New Roman;sans-serif"/>
          <w:b w:val="false"/>
          <w:color w:val="000000"/>
          <w:sz w:val="24"/>
          <w:u w:val="single"/>
        </w:rPr>
        <w:t>2021 Incentive Plan</w:t>
      </w:r>
      <w:r>
        <w:rPr>
          <w:color w:val="000000"/>
        </w:rPr>
        <w:t>”</w:t>
      </w:r>
      <w:r>
        <w:rPr>
          <w:rFonts w:ascii="Times New Roman;sans-serif" w:hAnsi="Times New Roman;sans-serif"/>
          <w:b w:val="false"/>
          <w:color w:val="000000"/>
          <w:sz w:val="24"/>
        </w:rPr>
        <w:t xml:space="preserve">) and subject to the terms and conditions of the applicable award agreement. During the term hereof, the Executive shall be eligible to receive additional equity grants under the 2021 Incentive Plan, or any successor plan for the issuance of stock options, restricted stock, or other equity incentives hereafter maintained by the Company and in which other senior executives of the Company participate. Any and all additional grants to the Executive under the 2021 Incentive Plan or any such successor plan shall be made at the sole discretion of the Board (excluding the Executive) and shall be subject to the terms and conditions of the applicable award agreement. </w:t>
      </w:r>
    </w:p>
    <w:p>
      <w:pPr>
        <w:pStyle w:val="TextBody"/>
        <w:spacing w:lineRule="auto" w:line="288" w:before="0" w:after="18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Vacations</w:t>
      </w:r>
      <w:r>
        <w:rPr>
          <w:rFonts w:ascii="Times New Roman;sans-serif" w:hAnsi="Times New Roman;sans-serif"/>
          <w:b w:val="false"/>
          <w:color w:val="000000"/>
          <w:sz w:val="24"/>
        </w:rPr>
        <w:t>. During the term hereof, the Executive shall be entitled to vacation, personal days, sick time and similar paid time off benefits in accordance with the applicable policies of the Company, as in effect from time to time.</w:t>
      </w:r>
    </w:p>
    <w:p>
      <w:pPr>
        <w:pStyle w:val="TextBody"/>
        <w:spacing w:lineRule="auto" w:line="288" w:before="0" w:after="18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Insurance Benefits</w:t>
      </w:r>
      <w:r>
        <w:rPr>
          <w:rFonts w:ascii="Times New Roman;sans-serif" w:hAnsi="Times New Roman;sans-serif"/>
          <w:b w:val="false"/>
          <w:color w:val="000000"/>
          <w:sz w:val="24"/>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w:t>
      </w:r>
      <w:r>
        <w:rPr>
          <w:rFonts w:ascii="Times New Roman;sans-serif" w:hAnsi="Times New Roman;sans-serif"/>
          <w:b w:val="false"/>
          <w:color w:val="000000"/>
          <w:sz w:val="24"/>
          <w:u w:val="single"/>
        </w:rPr>
        <w:t>Insurance Benefits</w:t>
      </w:r>
      <w:r>
        <w:rPr>
          <w:color w:val="000000"/>
        </w:rPr>
        <w:t>”</w:t>
      </w:r>
      <w:r>
        <w:rPr>
          <w:rFonts w:ascii="Times New Roman;sans-serif" w:hAnsi="Times New Roman;sans-serif"/>
          <w:b w:val="false"/>
          <w:color w:val="000000"/>
          <w:sz w:val="24"/>
        </w:rPr>
        <w:t xml:space="preserve">).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(excluding the Executive) and otherwise in accordance with the Company’s then-prevailing policies and procedures for expense reimbursement (including such reasonable substantiation and documentation as may be specified by the Company from time to time).</w:t>
      </w:r>
    </w:p>
    <w:p>
      <w:pPr>
        <w:pStyle w:val="TextBody"/>
        <w:spacing w:lineRule="auto" w:line="288" w:before="0" w:after="18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Termination of Employment and Severance Benefits</w:t>
      </w:r>
      <w:r>
        <w:rPr>
          <w:rFonts w:ascii="Times New Roman;sans-serif" w:hAnsi="Times New Roman;sans-serif"/>
          <w:b w:val="false"/>
          <w:color w:val="000000"/>
          <w:sz w:val="24"/>
        </w:rPr>
        <w:t>. Notwithstanding the provisions of Section 2 hereof, the Executive’s employment hereunder shall terminate prior to the expiration of the term under the following circumstances:</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his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(iii) any Annual Bonus earned under Section 4(b) with respect to the fiscal year immediately preceding the fiscal year in which such termination occurs, but only to the extent unpaid as of the date of termination (with any such earned Annual Bonus to be paid at the same time as if no such termination had occurred), and (iv)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w:t>
      </w:r>
      <w:r>
        <w:rPr>
          <w:rFonts w:ascii="Times New Roman;sans-serif" w:hAnsi="Times New Roman;sans-serif"/>
          <w:b w:val="false"/>
          <w:color w:val="000000"/>
          <w:sz w:val="24"/>
          <w:u w:val="single"/>
        </w:rPr>
        <w:t>Final Compensation</w:t>
      </w:r>
      <w:r>
        <w:rPr>
          <w:color w:val="000000"/>
        </w:rPr>
        <w:t>”</w:t>
      </w:r>
      <w:r>
        <w:rPr>
          <w:rFonts w:ascii="Times New Roman;sans-serif" w:hAnsi="Times New Roman;sans-serif"/>
          <w:b w:val="false"/>
          <w:color w:val="000000"/>
          <w:sz w:val="24"/>
        </w:rPr>
        <w:t>). In addition to Final Compensation, if the Executive’s employment terminates due to his death during the term hereof, the Executive will be entitled to (x) a prorated portion of any Annual Bonus earned for the fiscal year in which such termination occurs (calculated as the Annual Bonus that would have been paid for such fiscal year, multiplied by a fraction, the numerator of which is equal to the number of days the Executive worked for the Company in such fiscal year, and the denominator of which is equal to the total number of days in such fiscal year), with any such prorated Annual Bonus to be paid at the same time as if no such termination had occurred (the “</w:t>
      </w:r>
      <w:r>
        <w:rPr>
          <w:rFonts w:ascii="Times New Roman;sans-serif" w:hAnsi="Times New Roman;sans-serif"/>
          <w:b w:val="false"/>
          <w:color w:val="000000"/>
          <w:sz w:val="24"/>
          <w:u w:val="single"/>
        </w:rPr>
        <w:t>Prorated Bonus</w:t>
      </w:r>
      <w:r>
        <w:rPr>
          <w:color w:val="000000"/>
        </w:rPr>
        <w:t>”</w:t>
      </w:r>
      <w:r>
        <w:rPr>
          <w:rFonts w:ascii="Times New Roman;sans-serif" w:hAnsi="Times New Roman;sans-serif"/>
          <w:b w:val="false"/>
          <w:color w:val="000000"/>
          <w:sz w:val="24"/>
        </w:rPr>
        <w:t>) and (y) the Benefit Continuation he would have been entitled to receive under clause (iii) of Section 5(d) below had the Executive been terminated by the Company other than for Cause in accordance with such Section 5(d). The Company shall have no further obligation to the Executive or his estate hereunder.</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w:t>
      </w:r>
    </w:p>
    <w:p>
      <w:pPr>
        <w:pStyle w:val="TextBody"/>
        <w:spacing w:lineRule="auto" w:line="288" w:before="0" w:after="180"/>
        <w:ind w:left="0" w:right="0" w:firstLine="494"/>
        <w:rPr/>
      </w:pPr>
      <w:r>
        <w:rPr>
          <w:rFonts w:ascii="Times New Roman;sans-serif" w:hAnsi="Times New Roman;sans-serif"/>
          <w:b w:val="false"/>
          <w:color w:val="000000"/>
          <w:sz w:val="24"/>
        </w:rPr>
        <w:t>(i)     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w:t>
      </w:r>
      <w:r>
        <w:rPr>
          <w:color w:val="000000"/>
        </w:rPr>
        <w:t xml:space="preser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his</w:t>
      </w:r>
      <w:r>
        <w:rPr>
          <w:color w:val="000000"/>
        </w:rPr>
        <w:t xml:space="preserve"> </w:t>
      </w:r>
      <w:r>
        <w:rPr>
          <w:rFonts w:ascii="Times New Roman;sans-serif" w:hAnsi="Times New Roman;sans-serif"/>
          <w:b w:val="false"/>
          <w:color w:val="000000"/>
          <w:sz w:val="24"/>
        </w:rPr>
        <w:t xml:space="preserve">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Prorated Bonus and (y) the Benefit Continuation he would have been entitled to receive under clause (iii) of Section 5(d) below had the Executive been terminated by the Company other than for Cause in accordance with such Section 5(d). The Company shall have no further obligation to the Executive hereunder. </w:t>
      </w:r>
    </w:p>
    <w:p>
      <w:pPr>
        <w:pStyle w:val="TextBody"/>
        <w:spacing w:lineRule="auto" w:line="288" w:before="0" w:after="180"/>
        <w:ind w:left="0" w:right="0" w:firstLine="427"/>
        <w:rPr>
          <w:rFonts w:ascii="Times New Roman;sans-serif" w:hAnsi="Times New Roman;sans-serif"/>
          <w:b w:val="false"/>
          <w:color w:val="000000"/>
          <w:sz w:val="24"/>
        </w:rPr>
      </w:pPr>
      <w:r>
        <w:rPr>
          <w:rFonts w:ascii="Times New Roman;sans-serif" w:hAnsi="Times New Roman;sans-serif"/>
          <w:b w:val="false"/>
          <w:color w:val="000000"/>
          <w:sz w:val="24"/>
        </w:rPr>
        <w:t>(ii)     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long-term disability income benefits under the Company’s disability income plan (or any disability insurance policy of the Company).</w:t>
      </w:r>
    </w:p>
    <w:p>
      <w:pPr>
        <w:pStyle w:val="TextBody"/>
        <w:spacing w:lineRule="auto" w:line="288" w:before="0" w:after="180"/>
        <w:ind w:left="0" w:right="0" w:firstLine="361"/>
        <w:rPr>
          <w:rFonts w:ascii="Times New Roman;sans-serif" w:hAnsi="Times New Roman;sans-serif"/>
          <w:b w:val="false"/>
          <w:color w:val="000000"/>
          <w:sz w:val="24"/>
        </w:rPr>
      </w:pPr>
      <w:r>
        <w:rPr>
          <w:rFonts w:ascii="Times New Roman;sans-serif" w:hAnsi="Times New Roman;sans-serif"/>
          <w:b w:val="false"/>
          <w:color w:val="000000"/>
          <w:sz w:val="24"/>
        </w:rPr>
        <w:t>(iii)     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pStyle w:val="TextBody"/>
        <w:spacing w:lineRule="auto" w:line="288" w:before="0" w:after="180"/>
        <w:ind w:left="0" w:right="0" w:firstLine="374"/>
        <w:rPr/>
      </w:pPr>
      <w:r>
        <w:rPr>
          <w:rFonts w:ascii="Times New Roman;sans-serif" w:hAnsi="Times New Roman;sans-serif"/>
          <w:b w:val="false"/>
          <w:color w:val="000000"/>
          <w:sz w:val="24"/>
        </w:rPr>
        <w:t>(iv)     Any determination as to whether during any period the Executive is disabled through any illness, injury, accident or condition of either a physical or psychological nature so as to be unable to perform substantially all of his</w:t>
      </w:r>
      <w:r>
        <w:rPr>
          <w:color w:val="000000"/>
        </w:rPr>
        <w:t xml:space="preserve"> </w:t>
      </w:r>
      <w:r>
        <w:rPr>
          <w:rFonts w:ascii="Times New Roman;sans-serif" w:hAnsi="Times New Roman;sans-serif"/>
          <w:b w:val="false"/>
          <w:color w:val="000000"/>
          <w:sz w:val="24"/>
        </w:rPr>
        <w:t xml:space="preserve">duties and responsibilities hereunder shall be made by a physician satisfactory to both the Executive (or his duly appointed guardian) and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Executive and the Company do not agree on a physician, the Executive and the Company shall each select a physician and these two together shall select a third physician, whose determination as to disability shall be binding on all parties. If the Executive shall fail to submit to such medical examination, the Company’s determination of the issue shall be binding on the Executive.</w: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By the Company for Cause</w:t>
      </w:r>
      <w:r>
        <w:rPr>
          <w:rFonts w:ascii="Times New Roman;sans-serif" w:hAnsi="Times New Roman;sans-serif"/>
          <w:b w:val="false"/>
          <w:color w:val="000000"/>
          <w:sz w:val="24"/>
        </w:rPr>
        <w:t>. The Company may terminate the Executive’s employment hereunder for Cause at any time upon notice to the Executive setting forth in reasonable detail the nature of such Cause. The following shall constitute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for termination:</w:t>
      </w:r>
    </w:p>
    <w:p>
      <w:pPr>
        <w:pStyle w:val="TextBody"/>
        <w:spacing w:lineRule="auto" w:line="288" w:before="0" w:after="180"/>
        <w:ind w:left="0" w:right="0" w:firstLine="494"/>
        <w:rPr>
          <w:rFonts w:ascii="Times New Roman;sans-serif" w:hAnsi="Times New Roman;sans-serif"/>
          <w:b w:val="false"/>
          <w:color w:val="000000"/>
          <w:sz w:val="24"/>
        </w:rPr>
      </w:pPr>
      <w:r>
        <w:rPr>
          <w:rFonts w:ascii="Times New Roman;sans-serif" w:hAnsi="Times New Roman;sans-serif"/>
          <w:b w:val="false"/>
          <w:color w:val="000000"/>
          <w:sz w:val="24"/>
        </w:rPr>
        <w:t xml:space="preserve">(i)     Repeated or willful refusal, failure or neglect by the Executive to perform the material duties of his employment or to follow the directions of the Board (other than by reason of the Executive’s physical or mental illness or impairment);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ind w:left="0" w:right="0" w:firstLine="427"/>
        <w:rPr>
          <w:rFonts w:ascii="Times New Roman;sans-serif" w:hAnsi="Times New Roman;sans-serif"/>
          <w:b w:val="false"/>
          <w:color w:val="000000"/>
          <w:sz w:val="24"/>
        </w:rPr>
      </w:pPr>
      <w:r>
        <w:rPr>
          <w:rFonts w:ascii="Times New Roman;sans-serif" w:hAnsi="Times New Roman;sans-serif"/>
          <w:b w:val="false"/>
          <w:color w:val="000000"/>
          <w:sz w:val="24"/>
        </w:rPr>
        <w:t>(ii)     The Executive’s committing any act of fraud, embezzlement, or theft;</w:t>
      </w:r>
    </w:p>
    <w:p>
      <w:pPr>
        <w:pStyle w:val="TextBody"/>
        <w:spacing w:lineRule="auto" w:line="288" w:before="0" w:after="180"/>
        <w:ind w:left="0" w:right="0" w:firstLine="361"/>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Executive’s material violation of the Company’s policies; </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(iv)     The Executive’s behavior or engagement in any acts that may interfere with the ability of the Company or any of its affiliates to maintain a license to harvest, cultivate, process, or sell cannabis or otherwise continue to operate its business;</w:t>
      </w:r>
    </w:p>
    <w:p>
      <w:pPr>
        <w:pStyle w:val="TextBody"/>
        <w:spacing w:lineRule="auto" w:line="288" w:before="0" w:after="180"/>
        <w:ind w:left="0" w:right="0" w:firstLine="440"/>
        <w:rPr>
          <w:rFonts w:ascii="Times New Roman;sans-serif" w:hAnsi="Times New Roman;sans-serif"/>
          <w:b w:val="false"/>
          <w:color w:val="000000"/>
          <w:sz w:val="24"/>
        </w:rPr>
      </w:pPr>
      <w:r>
        <w:rPr>
          <w:rFonts w:ascii="Times New Roman;sans-serif" w:hAnsi="Times New Roman;sans-serif"/>
          <w:b w:val="false"/>
          <w:color w:val="000000"/>
          <w:sz w:val="24"/>
        </w:rPr>
        <w:t>(v)     The Executive’s breach of any non-disclosure, non-disparagement, non-competition, non-solicitation, assignment of inventions agreement or other restrictive covenants set forth herein, other than the Executive’s inadvertent and immaterial breach of any non-competition or non-disclosure obligation that is not otherwise detrimental to the Company or any of its affiliates, as determined by the Board (excluding the Executive);</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 xml:space="preserve">(vi)     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 to interfere with the ability of the Company or any of its affiliates to maintain a license to harvest, cultivate, process, or sell cannabis or otherwise continue to operate its business; </w:t>
      </w:r>
    </w:p>
    <w:p>
      <w:pPr>
        <w:pStyle w:val="TextBody"/>
        <w:spacing w:lineRule="auto" w:line="288" w:before="0" w:after="180"/>
        <w:ind w:left="0" w:right="0" w:firstLine="307"/>
        <w:rPr>
          <w:rFonts w:ascii="Times New Roman;sans-serif" w:hAnsi="Times New Roman;sans-serif"/>
          <w:b w:val="false"/>
          <w:color w:val="000000"/>
          <w:sz w:val="24"/>
        </w:rPr>
      </w:pPr>
      <w:r>
        <w:rPr>
          <w:rFonts w:ascii="Times New Roman;sans-serif" w:hAnsi="Times New Roman;sans-serif"/>
          <w:b w:val="false"/>
          <w:color w:val="000000"/>
          <w:sz w:val="24"/>
        </w:rPr>
        <w:t xml:space="preserve">(vii)     The Executive’s willful engagement in dishonesty, illegal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illegal conduct is not likely to interfere with the ability of the Company or any of its affiliates to maintain a license to harvest, cultivate, process, or sell cannabis or otherwise continue to operate its business), or gross misconduct, which in each case is materially injurious (monetarily or otherwise) to the Company or its affiliates; or </w:t>
      </w:r>
    </w:p>
    <w:p>
      <w:pPr>
        <w:pStyle w:val="TextBody"/>
        <w:spacing w:lineRule="auto" w:line="288" w:before="0" w:after="180"/>
        <w:ind w:left="0" w:right="0" w:firstLine="241"/>
        <w:rPr>
          <w:rFonts w:ascii="Times New Roman;sans-serif" w:hAnsi="Times New Roman;sans-serif"/>
          <w:b w:val="false"/>
          <w:color w:val="000000"/>
          <w:sz w:val="24"/>
        </w:rPr>
      </w:pPr>
      <w:r>
        <w:rPr>
          <w:rFonts w:ascii="Times New Roman;sans-serif" w:hAnsi="Times New Roman;sans-serif"/>
          <w:b w:val="false"/>
          <w:color w:val="000000"/>
          <w:sz w:val="24"/>
        </w:rPr>
        <w:t>(viii)     The Executive’s material breach of the terms of this Agreement.</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on authority given pursuant to a resolution duly adopted by the Board or on the advice of counsel for the Company shall be conclusively presumed to be done, or omitted to be done, by the Executive in good faith and in the best interests of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Termination of the Executive’s employment shall not be deemed to be for Cause unless and until (I) the Company has given notice thereof to the Executive specifying in reasonable detail the conduct constituting “Cause,” (II) solely with respect to the conduct described in clauses (i), (iii), (iv), (v) and (viii) above, the Executive fails to cure and correct his conduct (if capable of cure and correction) within thirty (30) days after such notice, and (III) the Company delivers to the Executive a copy of a resolution duly adopted by the affirmative vote of not less than two-thirds (2/3) of the Board (excluding the Executive) (after the Executive is given an opportunity, together with counsel, to be heard before the Board), finding in good faith that the Executive has engaged in the conduct described in any of (i)-(viii) above.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Upon the giving of notice of termination of the Executive’s employment hereunder for Cause, the Company shall have no further obligation hereunder to the Executive, other than for Final Compensation.</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By the Company Other than for Cause or by Giving a Non-Renewal Notice</w:t>
      </w:r>
      <w:r>
        <w:rPr>
          <w:rFonts w:ascii="Times New Roman;sans-serif" w:hAnsi="Times New Roman;sans-serif"/>
          <w:b w:val="false"/>
          <w:color w:val="000000"/>
          <w:sz w:val="24"/>
        </w:rPr>
        <w:t>. The Company may terminate the Executive’s employment hereunder other than for Cause (and other than in connection with the Executive’s death or disability) at any time upon ninety (90) days’ written notice to the Executive; provided that, during such 90-day notice period (or any portion thereof), the Executive may be required to work remotely from his residence or the Company may place the Executive on garden leave, and in all events, the Company may prohibit the Executive from entering any premises of the Company or any of its affiliates, contacting any employee, customer, vendor or supplier of the Company or any of its affiliates or accessing any property of the Company or any of its affiliates. In the event of such termination, or in the event that the Executive’s employment is terminated as a result of the Company’s Non-Renewal Notice pursuant to Section 2 hereof, then (i) the Company shall pay to the Executive the Final Compensation, (ii) the Company shall pay the Executive an amount equal to two (2) times the sum of Base Salary and Annual Bonus earned by the Executive for the full fiscal year immediately preceding the fiscal year in which such termination occurs (the “</w:t>
      </w:r>
      <w:r>
        <w:rPr>
          <w:rFonts w:ascii="Times New Roman;sans-serif" w:hAnsi="Times New Roman;sans-serif"/>
          <w:b w:val="false"/>
          <w:color w:val="000000"/>
          <w:sz w:val="24"/>
          <w:u w:val="single"/>
        </w:rPr>
        <w:t>Termination Compensation</w:t>
      </w:r>
      <w:r>
        <w:rPr>
          <w:color w:val="000000"/>
        </w:rPr>
        <w:t>”</w:t>
      </w:r>
      <w:r>
        <w:rPr>
          <w:rFonts w:ascii="Times New Roman;sans-serif" w:hAnsi="Times New Roman;sans-serif"/>
          <w:b w:val="false"/>
          <w:color w:val="000000"/>
          <w:sz w:val="24"/>
        </w:rPr>
        <w:t xml:space="preserve">), payable in substantially equal installments in accordance with the Company’s normal payroll practices as in effect from time to time, over the twelve (12)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such termination date occurs prior to the conclusion of one full fiscal year of employment, it shall be assumed, for purposes of determining the Termination Compensation, that Executive earned one full fiscal year of his current Base Salary and achieved an Annual Bonus of 100% of his current Base Salary; provided, further, that, if (and only if) such termination date occurs within eighteen (18) months after a Change of Control Event (as defined below), then the Termination Compensation shall be payable to the Executive in a lump sum payment on the first payroll date following the effective date of the Employee Release (rather than in installments, as provided above in this clause (ii)), (iii) subject to any employee contribution applicable to the Executive as of immediately prior to the date of termination, the Company shall continue to pay the cost of the Executive’s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participation in the Company’s medical and dental insurance plans for a period of twelve (12) months,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instead make monthly cash payments to the Executive in an amount equal to the employer portion of the monthly insurance premiums that would have been applicable had the Executive been eligible to continue such participation (the benefit described in this clause (iii), collectively, the “</w:t>
      </w:r>
      <w:r>
        <w:rPr>
          <w:rFonts w:ascii="Times New Roman;sans-serif" w:hAnsi="Times New Roman;sans-serif"/>
          <w:b w:val="false"/>
          <w:color w:val="000000"/>
          <w:sz w:val="24"/>
          <w:u w:val="single"/>
        </w:rPr>
        <w:t>Benefit Continuation</w:t>
      </w:r>
      <w:r>
        <w:rPr>
          <w:color w:val="000000"/>
        </w:rPr>
        <w:t>”</w:t>
      </w:r>
      <w:r>
        <w:rPr>
          <w:rFonts w:ascii="Times New Roman;sans-serif" w:hAnsi="Times New Roman;sans-serif"/>
          <w:b w:val="false"/>
          <w:color w:val="000000"/>
          <w:sz w:val="24"/>
        </w:rPr>
        <w:t>), (iv) the Prorated Bonus, and (v) notwithstanding the terms of any other agreement, instrument or document to the contrary (including without limitation any vesting terms, performance criteria or other conditions, and regardless of whether entered into before or after the date of this Agreement), upon such termination, Executive’s right to purchase or otherwise acquire any equity securities of the Company under any stock option or other agreement, instrument, plan, program or arrangement outstanding or in effect on the effective date of such termination shall thereupon vest in full (subject only to the payment of the applicable exercise or purchase price, if any, and provided that any equity awards that are subject to the satisfaction of performance goals shall be deemed earned at target performance), and any right of the Company or any subsidiary to repurchase any equity securities of the Company from Executive, whether arising under any option, agreement, instrument, plan, program, arrangement or otherwise, shall thereupon terminate. For purposes of this Agreement, the term “</w:t>
      </w:r>
      <w:r>
        <w:rPr>
          <w:rFonts w:ascii="Times New Roman;sans-serif" w:hAnsi="Times New Roman;sans-serif"/>
          <w:b w:val="false"/>
          <w:color w:val="000000"/>
          <w:sz w:val="24"/>
          <w:u w:val="single"/>
        </w:rPr>
        <w:t>Change of Control Event</w:t>
      </w:r>
      <w:r>
        <w:rPr>
          <w:color w:val="000000"/>
        </w:rPr>
        <w:t xml:space="preserve">” </w:t>
      </w:r>
      <w:r>
        <w:rPr>
          <w:rFonts w:ascii="Times New Roman;sans-serif" w:hAnsi="Times New Roman;sans-serif"/>
          <w:b w:val="false"/>
          <w:color w:val="000000"/>
          <w:sz w:val="24"/>
        </w:rPr>
        <w:t xml:space="preserve">shall mean the consummation, after the Effective Date, of (i) the sale of all or substantially all of the Company’s assets or at least a majority of voting power of the capital stock of the Company, (ii) any liquidation, dissolution or winding up of the Company, or (iii) the merger or consolidation of the Company with or into another entity, except a merger or consolidation in which the holders of capital stock of the Company immediately prior to such merger or consolidation continue to hold at least 50% of the voting power of the capital stock of the Company or the surviving or acquiring entity, as applicable; provided, however, that no event described in the foregoing clauses (i), (ii) and (iii) shall constitute a Change of Control Event for purposes of this Agreement unless it satisfies the requirements of Treasury Regulation Section 1.409A-3(i)(5)(v) or (vii). </w:t>
      </w:r>
    </w:p>
    <w:p>
      <w:pPr>
        <w:pStyle w:val="TextBody"/>
        <w:spacing w:lineRule="auto" w:line="288" w:before="0" w:after="180"/>
        <w:rPr/>
      </w:pPr>
      <w:r>
        <w:rPr>
          <w:rFonts w:ascii="Times New Roman;sans-serif" w:hAnsi="Times New Roman;sans-serif"/>
          <w:b w:val="false"/>
          <w:color w:val="000000"/>
          <w:sz w:val="24"/>
        </w:rPr>
        <w:t>(e)Any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in such form and substance as may be agreed to by the Company and the Executive (or his estate or legal representative, as applicable) (the “</w:t>
      </w:r>
      <w:r>
        <w:rPr>
          <w:rFonts w:ascii="Times New Roman;sans-serif" w:hAnsi="Times New Roman;sans-serif"/>
          <w:b w:val="false"/>
          <w:color w:val="000000"/>
          <w:sz w:val="24"/>
          <w:u w:val="single"/>
        </w:rPr>
        <w:t>Employee Release</w:t>
      </w:r>
      <w:r>
        <w:rPr>
          <w:color w:val="000000"/>
        </w:rPr>
        <w:t>”</w:t>
      </w:r>
      <w:r>
        <w:rPr>
          <w:rFonts w:ascii="Times New Roman;sans-serif" w:hAnsi="Times New Roman;sans-serif"/>
          <w:b w:val="false"/>
          <w:color w:val="000000"/>
          <w:sz w:val="24"/>
        </w:rPr>
        <w:t>) within twenty-one days (or such greater period as the Company may specify) (the “</w:t>
      </w:r>
      <w:r>
        <w:rPr>
          <w:rFonts w:ascii="Times New Roman;sans-serif" w:hAnsi="Times New Roman;sans-serif"/>
          <w:b w:val="false"/>
          <w:color w:val="000000"/>
          <w:sz w:val="24"/>
          <w:u w:val="single"/>
        </w:rPr>
        <w:t>Release Period</w:t>
      </w:r>
      <w:r>
        <w:rPr>
          <w:color w:val="000000"/>
        </w:rPr>
        <w:t>”</w:t>
      </w:r>
      <w:r>
        <w:rPr>
          <w:rFonts w:ascii="Times New Roman;sans-serif" w:hAnsi="Times New Roman;sans-serif"/>
          <w:b w:val="false"/>
          <w:color w:val="000000"/>
          <w:sz w:val="24"/>
        </w:rPr>
        <w:t>) following the date of termination of employment and upon the Executive (or his estate or legal representative, as applicable) not revoking the Employee Release during the 7-day revocation period following the execution of the Employee Release (the “</w:t>
      </w:r>
      <w:r>
        <w:rPr>
          <w:rFonts w:ascii="Times New Roman;sans-serif" w:hAnsi="Times New Roman;sans-serif"/>
          <w:b w:val="false"/>
          <w:color w:val="000000"/>
          <w:sz w:val="24"/>
          <w:u w:val="single"/>
        </w:rPr>
        <w:t>Revocation Period</w:t>
      </w:r>
      <w:r>
        <w:rPr>
          <w:color w:val="000000"/>
        </w:rPr>
        <w:t>”</w:t>
      </w:r>
      <w:r>
        <w:rPr>
          <w:rFonts w:ascii="Times New Roman;sans-serif" w:hAnsi="Times New Roman;sans-serif"/>
          <w:b w:val="false"/>
          <w:color w:val="000000"/>
          <w:sz w:val="24"/>
        </w:rPr>
        <w:t xml:space="preserve">). Notwithstanding the foregoing, if payment of Termination Compensation and the Benefit Continuation could commence in more than one taxable year based on when the Employee Release could become effective, then to the extent required by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pStyle w:val="TextBody"/>
        <w:spacing w:lineRule="auto" w:line="288" w:before="0" w:after="18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By the Executive for Good Reason</w:t>
      </w:r>
      <w:r>
        <w:rPr>
          <w:rFonts w:ascii="Times New Roman;sans-serif" w:hAnsi="Times New Roman;sans-serif"/>
          <w:b w:val="false"/>
          <w:color w:val="000000"/>
          <w:sz w:val="24"/>
        </w:rPr>
        <w:t>. The Executive may terminate his employment hereunder for Good Reason, upon notice to the Company setting forth in reasonable detail the nature of such Good Reason. The following shall constitute “</w:t>
      </w:r>
      <w:r>
        <w:rPr>
          <w:rFonts w:ascii="Times New Roman;sans-serif" w:hAnsi="Times New Roman;sans-serif"/>
          <w:b w:val="false"/>
          <w:color w:val="000000"/>
          <w:sz w:val="24"/>
          <w:u w:val="single"/>
        </w:rPr>
        <w:t>Good Reason</w:t>
      </w:r>
      <w:r>
        <w:rPr>
          <w:color w:val="000000"/>
        </w:rPr>
        <w:t>”</w:t>
      </w:r>
      <w:r>
        <w:rPr>
          <w:rFonts w:ascii="Times New Roman;sans-serif" w:hAnsi="Times New Roman;sans-serif"/>
          <w:b w:val="false"/>
          <w:color w:val="000000"/>
          <w:sz w:val="24"/>
        </w:rPr>
        <w:t>, subject to the notice and cure periods set forth below, unless the Executive shall have consented in writing to any of the following:</w:t>
      </w:r>
    </w:p>
    <w:p>
      <w:pPr>
        <w:pStyle w:val="TextBody"/>
        <w:spacing w:lineRule="auto" w:line="288" w:before="0" w:after="180"/>
        <w:ind w:left="0" w:right="0" w:firstLine="494"/>
        <w:rPr>
          <w:rFonts w:ascii="Times New Roman;sans-serif" w:hAnsi="Times New Roman;sans-serif"/>
          <w:b w:val="false"/>
          <w:color w:val="000000"/>
          <w:sz w:val="24"/>
        </w:rPr>
      </w:pPr>
      <w:r>
        <w:rPr>
          <w:rFonts w:ascii="Times New Roman;sans-serif" w:hAnsi="Times New Roman;sans-serif"/>
          <w:b w:val="false"/>
          <w:color w:val="000000"/>
          <w:sz w:val="24"/>
        </w:rPr>
        <w:t>(i)     any reduction in the Executive’s Base Salary other than in connection with a general reduction in base salaries that affects all similarly situated executives in substantially the same proportions;</w:t>
      </w:r>
    </w:p>
    <w:p>
      <w:pPr>
        <w:pStyle w:val="TextBody"/>
        <w:spacing w:lineRule="auto" w:line="288" w:before="0" w:after="180"/>
        <w:ind w:left="0" w:right="0" w:firstLine="427"/>
        <w:rPr>
          <w:rFonts w:ascii="Times New Roman;sans-serif" w:hAnsi="Times New Roman;sans-serif"/>
          <w:b w:val="false"/>
          <w:color w:val="000000"/>
          <w:sz w:val="24"/>
        </w:rPr>
      </w:pPr>
      <w:r>
        <w:rPr>
          <w:rFonts w:ascii="Times New Roman;sans-serif" w:hAnsi="Times New Roman;sans-serif"/>
          <w:b w:val="false"/>
          <w:color w:val="000000"/>
          <w:sz w:val="24"/>
        </w:rPr>
        <w:t xml:space="preserve">(ii)     any reduction in the Executive’s Target Bonus or Maximum Annual Bonus opportunity (other than solely as a result of a reduction in Base Salary); </w:t>
      </w:r>
    </w:p>
    <w:p>
      <w:pPr>
        <w:pStyle w:val="TextBody"/>
        <w:spacing w:lineRule="auto" w:line="288" w:before="0" w:after="180"/>
        <w:ind w:left="0" w:right="0" w:firstLine="361"/>
        <w:rPr>
          <w:rFonts w:ascii="Times New Roman;sans-serif" w:hAnsi="Times New Roman;sans-serif"/>
          <w:b w:val="false"/>
          <w:color w:val="000000"/>
          <w:sz w:val="24"/>
        </w:rPr>
      </w:pPr>
      <w:r>
        <w:rPr>
          <w:rFonts w:ascii="Times New Roman;sans-serif" w:hAnsi="Times New Roman;sans-serif"/>
          <w:b w:val="false"/>
          <w:color w:val="000000"/>
          <w:sz w:val="24"/>
        </w:rPr>
        <w:t xml:space="preserve">(iii)     any failure by the Company to nominate the Executive for re-election to the Board and to use its best efforts to have the Executive re-elected (other than as a result of a Change of Control Event, which shall be governed by this Section 5(f)(v)), or any change in the Executive’s title as President of the Company; </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(iv)     any diminution in the Executive’s responsibilities or authority within the Company, or any alteration in the nature or status of Executive’s position, title or responsibilities or the conditions of Executive’s employment, including the requirement for the Executive to report to any person(s) other than the Board, in any case without his prior written consent, other than any of the foregoing that occurs as a result of a Change of Control Event (which shall be governed by this Section 5(f)(v));</w:t>
      </w:r>
    </w:p>
    <w:p>
      <w:pPr>
        <w:pStyle w:val="TextBody"/>
        <w:spacing w:lineRule="auto" w:line="288" w:before="0" w:after="180"/>
        <w:ind w:left="0" w:right="0" w:firstLine="440"/>
        <w:rPr>
          <w:rFonts w:ascii="Times New Roman;sans-serif" w:hAnsi="Times New Roman;sans-serif"/>
          <w:b w:val="false"/>
          <w:color w:val="000000"/>
          <w:sz w:val="24"/>
        </w:rPr>
      </w:pPr>
      <w:r>
        <w:rPr>
          <w:rFonts w:ascii="Times New Roman;sans-serif" w:hAnsi="Times New Roman;sans-serif"/>
          <w:b w:val="false"/>
          <w:color w:val="000000"/>
          <w:sz w:val="24"/>
        </w:rPr>
        <w:t xml:space="preserve">(v)     in the event of a Change of Control Event, any failure by the acquirer to (a) make an offer of employment to the Executive for a base salary, target bonus and maximum bonus opportunity amounts that are substantially comparable in the aggregate to the Executive’s Base Salary and Annual Bonus (taking into consideration both the Target Bonus and the Maximum Annual Bonus) each as of immediately prior to such sale, (b) nominate the Executive for election to the Board of the acquirer, (c) offer the Executive a position with duties, responsibilities and authority that are materially comparable to the Executive’s duties, responsibilities and authority as President of the Company (disregarding any duties, responsibilities and authority the Executive had as a member of the Board or as an officer or director of any affiliate of the Company) as of immediately prior to such sale; </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 xml:space="preserve">(vi)     any failure by the Company to comply with any material provision of this Agreement; and </w:t>
      </w:r>
    </w:p>
    <w:p>
      <w:pPr>
        <w:pStyle w:val="TextBody"/>
        <w:spacing w:lineRule="auto" w:line="288" w:before="0" w:after="180"/>
        <w:ind w:left="0" w:right="0" w:firstLine="307"/>
        <w:rPr>
          <w:rFonts w:ascii="Times New Roman;sans-serif" w:hAnsi="Times New Roman;sans-serif"/>
          <w:b w:val="false"/>
          <w:color w:val="000000"/>
          <w:sz w:val="24"/>
        </w:rPr>
      </w:pPr>
      <w:r>
        <w:rPr>
          <w:rFonts w:ascii="Times New Roman;sans-serif" w:hAnsi="Times New Roman;sans-serif"/>
          <w:b w:val="false"/>
          <w:color w:val="000000"/>
          <w:sz w:val="24"/>
        </w:rPr>
        <w:t xml:space="preserve">(vii)     any requirement that the Executive relocate the principal place of his work for the Company such that his existing commute is increased by more than 50 miles.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Good Reason shall not be deemed to exist unless (x) the Executive gives the Company written notice within ninety (90) days after the Executive first has knowledge of the occurrence of the event which the Executive believes constitutes the basis for Good Reason, specifying the particular act or failure to act which the Executive believes constitutes the basis for Good Reason, (y) the Company fails to cure such act or failure to act within sixty (60) days after receipt of such notice and (z) the Executive terminates his employment within sixty (60) days after the end of the period specified in clause (y).</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In the event of termination in accordance with this Section 5(f), then the Executive will be entitled to the same payments and benefits (i.e., the Final Compensation, the Termination Compensation, the Benefit Continuation, the Prorated Bonus and acceleration of equity vesting (or termination of Company repurchase rights, as applicable)) he would have been entitled to receive had the Executive been terminated by the Company other than for Cause (and not due to his death or disability) in accordance with Section 5(d) above (subject to the terms of Section 5(e) above).</w:t>
      </w:r>
    </w:p>
    <w:p>
      <w:pPr>
        <w:pStyle w:val="TextBody"/>
        <w:spacing w:lineRule="auto" w:line="288" w:before="0" w:after="180"/>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By the Executive Other than for Good Reason or by Giving a Non-Renewal Notice</w:t>
      </w:r>
      <w:r>
        <w:rPr>
          <w:rFonts w:ascii="Times New Roman;sans-serif" w:hAnsi="Times New Roman;sans-serif"/>
          <w:b w:val="false"/>
          <w:color w:val="000000"/>
          <w:sz w:val="24"/>
        </w:rPr>
        <w:t>. The Executive may terminate his employment hereunder at any time upon ninety (90) days’ prior written notice to the Company. In the event of termination of the Executive’s employment pursuant to this Section 5(g), or if the Executive should give a Non-Renewal Notice pursuant to Section 2 hereof, the Board may elect to waive the period of notice, or any portion thereof, and, if the Board so elects, the Company will pay the Executive the Final Compensation and, to the extent permitted under (and subject to the terms of) the applicable plan documents, provide the Insurance Benefits for the notice period (or any portion thereof) so waived. Upon such employment termination, the Company shall have no further obligation hereunder to the Executive, other than for any Final Compensation and Prorated Bonus due to him.</w:t>
      </w:r>
    </w:p>
    <w:p>
      <w:pPr>
        <w:pStyle w:val="TextBody"/>
        <w:spacing w:lineRule="auto" w:line="288" w:before="0" w:after="180"/>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Post-Agreement Employment</w:t>
      </w:r>
      <w:r>
        <w:rPr>
          <w:rFonts w:ascii="Times New Roman;sans-serif" w:hAnsi="Times New Roman;sans-serif"/>
          <w:b w:val="false"/>
          <w:color w:val="000000"/>
          <w:sz w:val="24"/>
        </w:rPr>
        <w:t>. In the event the Executive remains in the employ of the Company or any of its subsidiaries following termination of this Agreement, by the expiration of the term hereof or otherwise, then such employment shall be at will.</w:t>
      </w:r>
    </w:p>
    <w:p>
      <w:pPr>
        <w:pStyle w:val="TextBody"/>
        <w:spacing w:lineRule="auto" w:line="288" w:before="0" w:after="18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Effect of Termination</w:t>
      </w:r>
      <w:r>
        <w:rPr>
          <w:rFonts w:ascii="Times New Roman;sans-serif" w:hAnsi="Times New Roman;sans-serif"/>
          <w:b w:val="false"/>
          <w:color w:val="000000"/>
          <w:sz w:val="24"/>
        </w:rPr>
        <w:t>. The provisions of this Section 6 shall apply to a termination of the Executive’s employment with the Company hereunder, whether due to the expiration of the term hereof, pursuant to Section 5 or otherwise.</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(a)Payment by the Company of any applicable Final Compensation, Termination Compensation, Benefit Continuation, acceleration of equity vesting (or termination of Company repurchase rights, as applicable)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 necessary for the Company to determine the amount and duration of its obligations in connection with any termination pursuant to Section 5 hereof.</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(b)Except for the Benefit Continuation and equity-security related benefits pursuant to Section 5(d) or 5(f) hereof,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pStyle w:val="TextBody"/>
        <w:spacing w:lineRule="auto" w:line="288" w:before="0" w:after="180"/>
        <w:rPr/>
      </w:pPr>
      <w:r>
        <w:rPr>
          <w:rFonts w:ascii="Times New Roman;sans-serif" w:hAnsi="Times New Roman;sans-serif"/>
          <w:b w:val="false"/>
          <w:color w:val="000000"/>
          <w:sz w:val="24"/>
        </w:rPr>
        <w:t>(c)Provisions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5(f) or 5(g)</w:t>
      </w:r>
      <w:r>
        <w:rPr>
          <w:color w:val="000000"/>
        </w:rPr>
        <w:t xml:space="preserve"> </w:t>
      </w:r>
      <w:r>
        <w:rPr>
          <w:rFonts w:ascii="Times New Roman;sans-serif" w:hAnsi="Times New Roman;sans-serif"/>
          <w:b w:val="false"/>
          <w:color w:val="000000"/>
          <w:sz w:val="24"/>
        </w:rPr>
        <w:t>hereof (other than</w:t>
      </w:r>
      <w:r>
        <w:rPr>
          <w:color w:val="000000"/>
        </w:rPr>
        <w:t xml:space="preserve"> </w:t>
      </w:r>
      <w:r>
        <w:rPr>
          <w:rFonts w:ascii="Times New Roman;sans-serif" w:hAnsi="Times New Roman;sans-serif"/>
          <w:b w:val="false"/>
          <w:color w:val="000000"/>
          <w:sz w:val="24"/>
        </w:rPr>
        <w:t xml:space="preserve">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(excluding the Executive),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(excluding the Executive),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 </w:t>
      </w:r>
    </w:p>
    <w:p>
      <w:pPr>
        <w:pStyle w:val="TextBody"/>
        <w:spacing w:lineRule="auto" w:line="288" w:before="0" w:after="18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Restrictive Covenants</w:t>
      </w:r>
      <w:r>
        <w:rPr>
          <w:rFonts w:ascii="Times New Roman;sans-serif" w:hAnsi="Times New Roman;sans-serif"/>
          <w:b w:val="false"/>
          <w:color w:val="000000"/>
          <w:sz w:val="24"/>
        </w:rPr>
        <w:t>. As an inducement and as essential consideration for the Company to enter into this Agreement, and in exchange for other good and valuable consideration, the Executive hereby agrees to the restrictive covenants contained in this Section 7 (the “</w:t>
      </w:r>
      <w:r>
        <w:rPr>
          <w:rFonts w:ascii="Times New Roman;sans-serif" w:hAnsi="Times New Roman;sans-serif"/>
          <w:b w:val="false"/>
          <w:color w:val="000000"/>
          <w:sz w:val="24"/>
          <w:u w:val="single"/>
        </w:rPr>
        <w:t>Restrictive Covenants</w:t>
      </w:r>
      <w:r>
        <w:rPr>
          <w:color w:val="000000"/>
        </w:rPr>
        <w:t>”</w:t>
      </w:r>
      <w:r>
        <w:rPr>
          <w:rFonts w:ascii="Times New Roman;sans-serif" w:hAnsi="Times New Roman;sans-serif"/>
          <w:b w:val="false"/>
          <w:color w:val="000000"/>
          <w:sz w:val="24"/>
        </w:rPr>
        <w:t>).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also refer to the predecessors and successors of the Company and any of its affiliates (as the case may be).</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During the period commencing on the Effective Date and ending on the date that is twelve (12) months after the date on which the Executive’s employment hereunder terminates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regardless of the reason for the Executive’s termination of employment and regardless of who initiates such termination (such period, the “</w:t>
      </w:r>
      <w:r>
        <w:rPr>
          <w:rFonts w:ascii="Times New Roman;sans-serif" w:hAnsi="Times New Roman;sans-serif"/>
          <w:b w:val="false"/>
          <w:color w:val="000000"/>
          <w:sz w:val="24"/>
          <w:u w:val="single"/>
        </w:rPr>
        <w:t>Non-Competition Period</w:t>
      </w:r>
      <w:r>
        <w:rPr>
          <w:color w:val="000000"/>
        </w:rPr>
        <w:t>”</w:t>
      </w:r>
      <w:r>
        <w:rPr>
          <w:rFonts w:ascii="Times New Roman;sans-serif" w:hAnsi="Times New Roman;sans-serif"/>
          <w:b w:val="false"/>
          <w:color w:val="000000"/>
          <w:sz w:val="24"/>
        </w:rPr>
        <w:t xml:space="preserve">), the Executive shall not, anywhere in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w:t>
      </w:r>
      <w:r>
        <w:rPr>
          <w:color w:val="000000"/>
        </w:rPr>
        <w:t xml:space="preserve"> </w:t>
      </w:r>
      <w:r>
        <w:rPr>
          <w:rFonts w:ascii="Times New Roman;sans-serif" w:hAnsi="Times New Roman;sans-serif"/>
          <w:b w:val="false"/>
          <w:color w:val="000000"/>
          <w:sz w:val="24"/>
        </w:rPr>
        <w:t>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set forth on Exhibit A or otherwise approved by the Board at any time prior to the Termination Date (the “</w:t>
      </w:r>
      <w:r>
        <w:rPr>
          <w:rFonts w:ascii="Times New Roman;sans-serif" w:hAnsi="Times New Roman;sans-serif"/>
          <w:b w:val="false"/>
          <w:color w:val="000000"/>
          <w:sz w:val="24"/>
          <w:u w:val="single"/>
        </w:rPr>
        <w:t>Competitive Business</w:t>
      </w:r>
      <w:r>
        <w:rPr>
          <w:color w:val="000000"/>
        </w:rPr>
        <w:t>”</w:t>
      </w:r>
      <w:r>
        <w:rPr>
          <w:rFonts w:ascii="Times New Roman;sans-serif" w:hAnsi="Times New Roman;sans-serif"/>
          <w:b w:val="false"/>
          <w:color w:val="000000"/>
          <w:sz w:val="24"/>
        </w:rPr>
        <w:t xml:space="preserve">). Notwithstanding the foregoing, nothing in this Section 7(a) shall prevent the Executive from (i) participating in any or all of the engagements or activities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so long as such engagements or activities do not (A) individually or in the aggregate, interfere with the performance of the Executive’s duties under this Agreement and (B) materially change in the nature or scope of the Executive’s engagement after the Effective Date or (ii) owning, as a passive investor, up to two percent (2%) of the securities of any entity that are publicly traded on a national securities exchange. </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During the period commencing on the Effective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 </w: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Service Provider Non-Solicitation</w:t>
      </w:r>
      <w:r>
        <w:rPr>
          <w:rFonts w:ascii="Times New Roman;sans-serif" w:hAnsi="Times New Roman;sans-serif"/>
          <w:b w:val="false"/>
          <w:color w:val="000000"/>
          <w:sz w:val="24"/>
        </w:rPr>
        <w:t xml:space="preserve">. During the period commencing on the Effective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its affiliates at the time of such solicitation, interference or attempt thereof or (B) was employed by, or an independent contractor of, the Company or any of its affiliates within twelve (12) months prior to such solicitation, employment, engagement, interference or attempt thereof. </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Non-Disparagement.</w:t>
      </w:r>
      <w:r>
        <w:rPr>
          <w:color w:val="000000"/>
        </w:rPr>
        <w:t xml:space="preserve"> </w:t>
      </w:r>
      <w:r>
        <w:rPr>
          <w:rFonts w:ascii="Times New Roman;sans-serif" w:hAnsi="Times New Roman;sans-serif"/>
          <w:b w:val="false"/>
          <w:color w:val="000000"/>
          <w:sz w:val="24"/>
        </w:rPr>
        <w:t xml:space="preserve">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 </w:t>
      </w:r>
    </w:p>
    <w:p>
      <w:pPr>
        <w:pStyle w:val="TextBody"/>
        <w:spacing w:lineRule="auto" w:line="288" w:before="0" w:after="18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Confidentiality; Return of Property</w:t>
      </w:r>
      <w:r>
        <w:rPr>
          <w:rFonts w:ascii="Times New Roman;sans-serif" w:hAnsi="Times New Roman;sans-serif"/>
          <w:b w:val="false"/>
          <w:color w:val="000000"/>
          <w:sz w:val="24"/>
        </w:rPr>
        <w:t xml:space="preserve">.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w:t>
      </w:r>
      <w:r>
        <w:rPr>
          <w:rFonts w:ascii="Times New Roman;sans-serif" w:hAnsi="Times New Roman;sans-serif"/>
          <w:b w:val="false"/>
          <w:color w:val="000000"/>
          <w:sz w:val="24"/>
          <w:highlight w:val="white"/>
        </w:rPr>
        <w:t xml:space="preserve">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w:t>
      </w:r>
      <w:r>
        <w:rPr>
          <w:rFonts w:ascii="Times New Roman;sans-serif" w:hAnsi="Times New Roman;sans-serif"/>
          <w:b w:val="false"/>
          <w:color w:val="000000"/>
          <w:sz w:val="24"/>
        </w:rPr>
        <w:t xml:space="preserve">seal, and (II) if the Executive files a lawsuit for retaliation by the Company for reporting a suspected violation of law, the Executive may disclose a trade secret to his attorney and use the trade secret information in the court proceeding, if the Executive files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shall mean all information of a sensitive, confidential or proprietary nature respecting the business and activities of the Company or any of its affiliates, including, without limitation, the terms and provisions of this Agreement (except for the terms and provisions of Section 7),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pStyle w:val="TextBody"/>
        <w:spacing w:lineRule="auto" w:line="288" w:before="0" w:after="18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Ownership of Inventions</w:t>
      </w:r>
      <w:r>
        <w:rPr>
          <w:rFonts w:ascii="Times New Roman;sans-serif" w:hAnsi="Times New Roman;sans-serif"/>
          <w:b w:val="false"/>
          <w:color w:val="000000"/>
          <w:sz w:val="24"/>
        </w:rPr>
        <w:t xml:space="preserve">.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hereby are and shall be the sole and exclusive property of the Company (collectively, the “</w:t>
      </w:r>
      <w:r>
        <w:rPr>
          <w:rFonts w:ascii="Times New Roman;sans-serif" w:hAnsi="Times New Roman;sans-serif"/>
          <w:b w:val="false"/>
          <w:color w:val="000000"/>
          <w:sz w:val="24"/>
          <w:u w:val="single"/>
        </w:rPr>
        <w:t>Company IP</w:t>
      </w:r>
      <w:r>
        <w:rPr>
          <w:color w:val="000000"/>
        </w:rPr>
        <w:t>”</w:t>
      </w:r>
      <w:r>
        <w:rPr>
          <w:rFonts w:ascii="Times New Roman;sans-serif" w:hAnsi="Times New Roman;sans-serif"/>
          <w:b w:val="false"/>
          <w:color w:val="000000"/>
          <w:sz w:val="24"/>
        </w:rPr>
        <w:t>).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Effective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w:t>
      </w:r>
      <w:r>
        <w:rPr>
          <w:rFonts w:ascii="Times New Roman;sans-serif" w:hAnsi="Times New Roman;sans-serif"/>
          <w:b w:val="false"/>
          <w:color w:val="000000"/>
          <w:sz w:val="24"/>
          <w:u w:val="single"/>
        </w:rPr>
        <w:t>Company Invention</w:t>
      </w:r>
      <w:r>
        <w:rPr>
          <w:color w:val="000000"/>
        </w:rPr>
        <w:t xml:space="preserve">” </w:t>
      </w:r>
      <w:r>
        <w:rPr>
          <w:rFonts w:ascii="Times New Roman;sans-serif" w:hAnsi="Times New Roman;sans-serif"/>
          <w:b w:val="false"/>
          <w:color w:val="000000"/>
          <w:sz w:val="24"/>
        </w:rPr>
        <w:t>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Effective Date, but not before the commencement of Executive’s employment with the Company or its predecessor), (ii) at the direction or request of the Company or any of its affiliates (whether before, on, or after the Effective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but not before the commencement of Executive’s employment with the Company or its predecessor). For purposes of this Agreement, “</w:t>
      </w:r>
      <w:r>
        <w:rPr>
          <w:rFonts w:ascii="Times New Roman;sans-serif" w:hAnsi="Times New Roman;sans-serif"/>
          <w:b w:val="false"/>
          <w:color w:val="000000"/>
          <w:sz w:val="24"/>
          <w:u w:val="single"/>
        </w:rPr>
        <w:t>Invention</w:t>
      </w:r>
      <w:r>
        <w:rPr>
          <w:color w:val="000000"/>
        </w:rPr>
        <w:t xml:space="preserve">” </w:t>
      </w:r>
      <w:r>
        <w:rPr>
          <w:rFonts w:ascii="Times New Roman;sans-serif" w:hAnsi="Times New Roman;sans-serif"/>
          <w:b w:val="false"/>
          <w:color w:val="000000"/>
          <w:sz w:val="24"/>
        </w:rPr>
        <w:t xml:space="preserve">shall mean any invention, formula, therapy, diagnostic technique, discovery, improvement, idea, technique, design, method, art, process, methodology, algorithm, machine, development, product, service, technology, strategy, software, work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authorship or other Works (as defined below), trade secret, innovation, trademark, data, database, or the like, whether or not patentable, together with all intellectual property rights therein.</w:t>
      </w:r>
    </w:p>
    <w:p>
      <w:pPr>
        <w:pStyle w:val="TextBody"/>
        <w:spacing w:lineRule="auto" w:line="288" w:before="0" w:after="180"/>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Works for Hire</w:t>
      </w:r>
      <w:r>
        <w:rPr>
          <w:rFonts w:ascii="Times New Roman;sans-serif" w:hAnsi="Times New Roman;sans-serif"/>
          <w:b w:val="false"/>
          <w:color w:val="000000"/>
          <w:sz w:val="24"/>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Effective Date), (ii) at the direction or request of the Company or any of its affiliates (whether before, on, or after the Effective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t>
      </w:r>
      <w:r>
        <w:rPr>
          <w:rFonts w:ascii="Times New Roman;sans-serif" w:hAnsi="Times New Roman;sans-serif"/>
          <w:b w:val="false"/>
          <w:color w:val="000000"/>
          <w:sz w:val="24"/>
          <w:u w:val="single"/>
        </w:rPr>
        <w:t>Works</w:t>
      </w:r>
      <w:r>
        <w:rPr>
          <w:color w:val="000000"/>
        </w:rPr>
        <w:t>”</w:t>
      </w:r>
      <w:r>
        <w:rPr>
          <w:rFonts w:ascii="Times New Roman;sans-serif" w:hAnsi="Times New Roman;sans-serif"/>
          <w:b w:val="false"/>
          <w:color w:val="000000"/>
          <w:sz w:val="24"/>
        </w:rPr>
        <w:t xml:space="preserve">),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 </w:t>
      </w:r>
    </w:p>
    <w:p>
      <w:pPr>
        <w:pStyle w:val="TextBody"/>
        <w:spacing w:lineRule="auto" w:line="288" w:before="0" w:after="180"/>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During and after the term hereof, the Executive agrees to cooperate with the Company and its affiliates in any internal investigation, any administrative, regulatory, or judicial proceeding or any dispute with a third 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Notification Requirement</w:t>
      </w:r>
      <w:r>
        <w:rPr>
          <w:rFonts w:ascii="Times New Roman;sans-serif" w:hAnsi="Times New Roman;sans-serif"/>
          <w:b w:val="false"/>
          <w:color w:val="000000"/>
          <w:sz w:val="24"/>
        </w:rPr>
        <w:t>. Until the expiration of the period or periods for Restrictive Covenants (as applicable), the Executive shall, upon a reasonable request by the Company, give notice to the Company of any new business activity</w:t>
      </w:r>
      <w:r>
        <w:rPr>
          <w:color w:val="000000"/>
        </w:rPr>
        <w:t xml:space="preserve"> </w:t>
      </w:r>
      <w:r>
        <w:rPr>
          <w:rFonts w:ascii="Times New Roman;sans-serif" w:hAnsi="Times New Roman;sans-serif"/>
          <w:b w:val="false"/>
          <w:color w:val="000000"/>
          <w:sz w:val="24"/>
        </w:rPr>
        <w:t>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w:t>
      </w:r>
      <w:r>
        <w:rPr>
          <w:rFonts w:ascii="Times New Roman;sans-serif" w:hAnsi="Times New Roman;sans-serif"/>
          <w:b w:val="false"/>
          <w:color w:val="000000"/>
          <w:sz w:val="24"/>
          <w:u w:val="single"/>
        </w:rPr>
        <w:t>Person</w:t>
      </w:r>
      <w:r>
        <w:rPr>
          <w:color w:val="000000"/>
        </w:rPr>
        <w:t>”</w:t>
      </w:r>
      <w:r>
        <w:rPr>
          <w:rFonts w:ascii="Times New Roman;sans-serif" w:hAnsi="Times New Roman;sans-serif"/>
          <w:b w:val="false"/>
          <w:color w:val="000000"/>
          <w:sz w:val="24"/>
        </w:rPr>
        <w:t>)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pStyle w:val="TextBody"/>
        <w:spacing w:lineRule="auto" w:line="288" w:before="0" w:after="180"/>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Enforcement of Covenants</w:t>
      </w:r>
      <w:r>
        <w:rPr>
          <w:rFonts w:ascii="Times New Roman;sans-serif" w:hAnsi="Times New Roman;sans-serif"/>
          <w:b w:val="false"/>
          <w:color w:val="000000"/>
          <w:sz w:val="24"/>
        </w:rPr>
        <w:t xml:space="preserve">.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further acknowledges that, were he to breach any of the Restrictive Covenants, the damage to the Company and its affiliates would be irreparable. The Executive therefore agrees that the Company and its affiliates, in addition to any other legal or equitable remedies available to them, shall be entitled to preliminary and permanent injunctive relief against any breach or threatened breach by the Executive of any of the Restrictive Covenants, without having to post bond, and to specific performance of each of the terms thereof, and shall be entitled to recover their reasonable costs and attorneys’ fees in enforcing the Restrictive Covenants. The Executive further agrees that (i) any breach or claimed breach of the provisions of this Agreement by, or any other claim the Executive may have against, the Company or any of its affiliates will not be a defense to enforcement of any Restrictive Covenant and (ii) the circumstances of the Executive’s termination of employment with the Company will have no impact on the Executive’s obligations to comply with any Restrictive Covenant. The Restrictive Covenants are intended for the benefit of the Company and each of its affiliates. Each affiliate of the Company is an intended third 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 </w:t>
      </w:r>
    </w:p>
    <w:p>
      <w:pPr>
        <w:pStyle w:val="TextBody"/>
        <w:spacing w:lineRule="auto" w:line="288" w:before="0" w:after="180"/>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Notification of New Employer</w:t>
      </w:r>
      <w:r>
        <w:rPr>
          <w:rFonts w:ascii="Times New Roman;sans-serif" w:hAnsi="Times New Roman;sans-serif"/>
          <w:b w:val="false"/>
          <w:color w:val="000000"/>
          <w:sz w:val="24"/>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Excise Tax</w:t>
      </w:r>
      <w:r>
        <w:rPr>
          <w:rFonts w:ascii="Times New Roman;sans-serif" w:hAnsi="Times New Roman;sans-serif"/>
          <w:b w:val="false"/>
          <w:color w:val="000000"/>
          <w:sz w:val="24"/>
        </w:rPr>
        <w:t xml:space="preserve">. </w:t>
      </w:r>
    </w:p>
    <w:p>
      <w:pPr>
        <w:pStyle w:val="TextBody"/>
        <w:spacing w:lineRule="auto" w:line="288" w:before="0" w:after="180"/>
        <w:rPr/>
      </w:pPr>
      <w:r>
        <w:rPr>
          <w:rFonts w:ascii="Times New Roman;sans-serif" w:hAnsi="Times New Roman;sans-serif"/>
          <w:b w:val="false"/>
          <w:color w:val="000000"/>
          <w:sz w:val="24"/>
        </w:rPr>
        <w:t>(a)Notwithstanding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sans-serif" w:hAnsi="Times New Roman;sans-serif"/>
          <w:b w:val="false"/>
          <w:color w:val="000000"/>
          <w:sz w:val="24"/>
          <w:u w:val="single"/>
        </w:rPr>
        <w:t>Total Payments</w:t>
      </w:r>
      <w:r>
        <w:rPr>
          <w:color w:val="000000"/>
        </w:rPr>
        <w:t>”</w:t>
      </w:r>
      <w:r>
        <w:rPr>
          <w:rFonts w:ascii="Times New Roman;sans-serif" w:hAnsi="Times New Roman;sans-serif"/>
          <w:b w:val="false"/>
          <w:color w:val="000000"/>
          <w:sz w:val="24"/>
        </w:rPr>
        <w:t>), is or will be subject to the excise tax imposed under Section 4999 of the Code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sans-serif" w:hAnsi="Times New Roman;sans-serif"/>
          <w:b w:val="false"/>
          <w:color w:val="000000"/>
          <w:sz w:val="24"/>
          <w:u w:val="single"/>
        </w:rPr>
        <w:t>Safe Harbor Amount</w:t>
      </w:r>
      <w:r>
        <w:rPr>
          <w:color w:val="000000"/>
        </w:rPr>
        <w:t xml:space="preserve">” </w:t>
      </w:r>
      <w:r>
        <w:rPr>
          <w:rFonts w:ascii="Times New Roman;sans-serif" w:hAnsi="Times New Roman;sans-serif"/>
          <w:b w:val="false"/>
          <w:color w:val="000000"/>
          <w:sz w:val="24"/>
        </w:rPr>
        <w:t>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pStyle w:val="TextBody"/>
        <w:spacing w:lineRule="auto" w:line="288" w:before="0" w:after="180"/>
        <w:rPr/>
      </w:pPr>
      <w:r>
        <w:rPr>
          <w:rFonts w:ascii="Times New Roman;sans-serif" w:hAnsi="Times New Roman;sans-serif"/>
          <w:b w:val="false"/>
          <w:color w:val="000000"/>
          <w:sz w:val="24"/>
        </w:rPr>
        <w:t>(b)The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w:t>
      </w:r>
      <w:r>
        <w:rPr>
          <w:rFonts w:ascii="Times New Roman;sans-serif" w:hAnsi="Times New Roman;sans-serif"/>
          <w:b w:val="false"/>
          <w:color w:val="000000"/>
          <w:sz w:val="24"/>
          <w:u w:val="single"/>
        </w:rPr>
        <w:t>Determining Party</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w:t>
      </w:r>
      <w:r>
        <w:rPr>
          <w:rFonts w:ascii="Times New Roman;sans-serif" w:hAnsi="Times New Roman;sans-serif"/>
          <w:b w:val="false"/>
          <w:color w:val="000000"/>
          <w:sz w:val="24"/>
          <w:u w:val="single"/>
        </w:rPr>
        <w:t>Determination</w:t>
      </w:r>
      <w:r>
        <w:rPr>
          <w:color w:val="000000"/>
        </w:rPr>
        <w:t>”</w:t>
      </w:r>
      <w:r>
        <w:rPr>
          <w:rFonts w:ascii="Times New Roman;sans-serif" w:hAnsi="Times New Roman;sans-serif"/>
          <w:b w:val="false"/>
          <w:color w:val="000000"/>
          <w:sz w:val="24"/>
        </w:rPr>
        <w:t xml:space="preserve">),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third accounting firm shall be binding, final and conclusive upon the Company and Executive.</w:t>
      </w:r>
    </w:p>
    <w:p>
      <w:pPr>
        <w:pStyle w:val="TextBody"/>
        <w:spacing w:lineRule="auto" w:line="288" w:before="0" w:after="180"/>
        <w:rPr/>
      </w:pPr>
      <w:r>
        <w:rPr>
          <w:rFonts w:ascii="Times New Roman;sans-serif" w:hAnsi="Times New Roman;sans-serif"/>
          <w:b w:val="false"/>
          <w:color w:val="000000"/>
          <w:sz w:val="24"/>
        </w:rPr>
        <w:t>(c)If, notwithstanding any reduction described in this Section 8, the Internal Revenue Service (“</w:t>
      </w:r>
      <w:r>
        <w:rPr>
          <w:rFonts w:ascii="Times New Roman;sans-serif" w:hAnsi="Times New Roman;sans-serif"/>
          <w:b w:val="false"/>
          <w:color w:val="000000"/>
          <w:sz w:val="24"/>
          <w:u w:val="single"/>
        </w:rPr>
        <w:t>IRS</w:t>
      </w:r>
      <w:r>
        <w:rPr>
          <w:color w:val="000000"/>
        </w:rPr>
        <w:t>”</w:t>
      </w:r>
      <w:r>
        <w:rPr>
          <w:rFonts w:ascii="Times New Roman;sans-serif" w:hAnsi="Times New Roman;sans-serif"/>
          <w:b w:val="false"/>
          <w:color w:val="000000"/>
          <w:sz w:val="24"/>
        </w:rPr>
        <w:t>)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w:t>
      </w:r>
      <w:r>
        <w:rPr>
          <w:rFonts w:ascii="Times New Roman;sans-serif" w:hAnsi="Times New Roman;sans-serif"/>
          <w:b w:val="false"/>
          <w:color w:val="000000"/>
          <w:sz w:val="24"/>
          <w:u w:val="single"/>
        </w:rPr>
        <w:t>Repayment Amount</w:t>
      </w:r>
      <w:r>
        <w:rPr>
          <w:color w:val="000000"/>
        </w:rPr>
        <w:t xml:space="preserve">” </w:t>
      </w:r>
      <w:r>
        <w:rPr>
          <w:rFonts w:ascii="Times New Roman;sans-serif" w:hAnsi="Times New Roman;sans-serif"/>
          <w:b w:val="false"/>
          <w:color w:val="000000"/>
          <w:sz w:val="24"/>
        </w:rPr>
        <w:t>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(d)Notwithstanding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(e)If,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(f)To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color w:val="000000"/>
        </w:rPr>
      </w:pPr>
      <w:r>
        <w:rPr>
          <w:color w:val="000000"/>
        </w:rPr>
        <w:t>“</w:t>
      </w:r>
      <w:r>
        <w:rPr>
          <w:rFonts w:ascii="Times New Roman;sans-serif" w:hAnsi="Times New Roman;sans-serif"/>
          <w:b w:val="false"/>
          <w:color w:val="000000"/>
          <w:sz w:val="24"/>
        </w:rPr>
        <w:t>parachute payment” within the meaning of Q&amp;A-2(a) of the final regulations under Section 280G of the Code in accordance with Q&amp;A-5(a) of the final regulations under Section 280G of the Code.</w:t>
      </w:r>
    </w:p>
    <w:p>
      <w:pPr>
        <w:pStyle w:val="TextBody"/>
        <w:spacing w:lineRule="auto" w:line="288" w:before="0" w:after="180"/>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Conflicting Agreements</w:t>
      </w:r>
      <w:r>
        <w:rPr>
          <w:rFonts w:ascii="Times New Roman;sans-serif" w:hAnsi="Times New Roman;sans-serif"/>
          <w:b w:val="false"/>
          <w:color w:val="000000"/>
          <w:sz w:val="24"/>
        </w:rPr>
        <w:t>. The Executive hereby represents and warrants that the execution of this Agreement and the performance of</w:t>
      </w:r>
      <w:r>
        <w:rPr>
          <w:color w:val="000000"/>
        </w:rPr>
        <w:t xml:space="preserve"> </w:t>
      </w:r>
      <w:r>
        <w:rPr>
          <w:rFonts w:ascii="Times New Roman;sans-serif" w:hAnsi="Times New Roman;sans-serif"/>
          <w:b w:val="false"/>
          <w:color w:val="000000"/>
          <w:sz w:val="24"/>
        </w:rPr>
        <w:t>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pStyle w:val="TextBody"/>
        <w:spacing w:lineRule="auto" w:line="288" w:before="0" w:after="180"/>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Company shall indemnify the Executive to the maximum extent permitted by the General Corporation Law of the State of Delaware. At the request of the Executive, and subject to the approval of the Board (excluding the Executive),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pStyle w:val="TextBody"/>
        <w:spacing w:lineRule="auto" w:line="288" w:before="0" w:after="18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by the Company under this Agreement shall be reduced by any tax or other amounts required to be withheld by the Company under applicable law.</w:t>
      </w:r>
    </w:p>
    <w:p>
      <w:pPr>
        <w:pStyle w:val="TextBody"/>
        <w:spacing w:lineRule="auto" w:line="288" w:before="0" w:after="18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pStyle w:val="TextBody"/>
        <w:spacing w:lineRule="auto" w:line="288" w:before="0" w:after="180"/>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lineRule="auto" w:line="288" w:before="0" w:after="18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Amendment and Waiver</w:t>
      </w:r>
      <w:r>
        <w:rPr>
          <w:rFonts w:ascii="Times New Roman;sans-serif" w:hAnsi="Times New Roman;sans-serif"/>
          <w:b w:val="false"/>
          <w:color w:val="000000"/>
          <w:sz w:val="24"/>
        </w:rPr>
        <w:t xml:space="preserve">. This Agreement may be amended or modified only by a written instrument signed by the Executive and the Company. No waiver of any provision hereof shall be effective unless made in writing and signed by the waiving party. The failure of either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pStyle w:val="TextBody"/>
        <w:spacing w:lineRule="auto" w:line="288" w:before="0" w:after="18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 if to the Executive, at his last known address on the books of the Company, with a copy to [***]; and</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(b) if to the Company, at its principal place of business, attention, Secretary, with a copy to legal@awholdings.com; or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(c) to such other address as either party may specify by notice to the other actually received.</w:t>
      </w:r>
    </w:p>
    <w:p>
      <w:pPr>
        <w:pStyle w:val="TextBody"/>
        <w:spacing w:lineRule="auto" w:line="288" w:before="0" w:after="180"/>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 </w:t>
      </w:r>
    </w:p>
    <w:p>
      <w:pPr>
        <w:pStyle w:val="TextBody"/>
        <w:spacing w:lineRule="auto" w:line="288" w:before="0" w:after="180"/>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and captions in this Agreement are for convenience only and in no way define or describe the scope or content of any provision of this Agreement.</w:t>
      </w:r>
    </w:p>
    <w:p>
      <w:pPr>
        <w:pStyle w:val="TextBody"/>
        <w:spacing w:lineRule="auto" w:line="288" w:before="0" w:after="180"/>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 </w:t>
      </w:r>
    </w:p>
    <w:p>
      <w:pPr>
        <w:pStyle w:val="TextBody"/>
        <w:spacing w:lineRule="auto" w:line="288" w:before="0" w:after="180"/>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Governing Law; Venue; WAIVER OF JURY TRIAL</w:t>
      </w:r>
      <w:r>
        <w:rPr>
          <w:rFonts w:ascii="Times New Roman;sans-serif" w:hAnsi="Times New Roman;sans-serif"/>
          <w:b w:val="false"/>
          <w:color w:val="000000"/>
          <w:sz w:val="24"/>
        </w:rPr>
        <w:t xml:space="preserve">.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 xml:space="preserve">jurisdiction. The Executive further consents to service of process in the State of New York. </w:t>
      </w:r>
      <w:r>
        <w:rPr>
          <w:rFonts w:ascii="Times New Roman;sans-serif" w:hAnsi="Times New Roman;sans-serif"/>
          <w:b/>
          <w:color w:val="000000"/>
          <w:sz w:val="24"/>
        </w:rPr>
        <w:t xml:space="preserve">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 </w:t>
      </w:r>
    </w:p>
    <w:p>
      <w:pPr>
        <w:pStyle w:val="TextBody"/>
        <w:spacing w:lineRule="auto" w:line="288" w:before="0" w:after="180"/>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Code Section 409A Compliance</w:t>
      </w:r>
      <w:r>
        <w:rPr>
          <w:rFonts w:ascii="Times New Roman;sans-serif" w:hAnsi="Times New Roman;sans-serif"/>
          <w:b w:val="false"/>
          <w:color w:val="000000"/>
          <w:sz w:val="24"/>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 </w:t>
      </w:r>
    </w:p>
    <w:p>
      <w:pPr>
        <w:pStyle w:val="TextBody"/>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Agreement has been executed as a sealed instrument by the Company, by its duly authorized representative, and by the Executive, as of the date first above written.</w:t>
      </w:r>
    </w:p>
    <w:tbl>
      <w:tblPr>
        <w:tblW w:w="6761" w:type="dxa"/>
        <w:jc w:val="left"/>
        <w:tblInd w:w="0" w:type="dxa"/>
        <w:tblCellMar>
          <w:top w:w="28" w:type="dxa"/>
          <w:left w:w="28" w:type="dxa"/>
          <w:bottom w:w="28" w:type="dxa"/>
          <w:right w:w="28" w:type="dxa"/>
        </w:tblCellMar>
      </w:tblPr>
      <w:tblGrid>
        <w:gridCol w:w="739"/>
        <w:gridCol w:w="649"/>
        <w:gridCol w:w="651"/>
        <w:gridCol w:w="109"/>
        <w:gridCol w:w="109"/>
        <w:gridCol w:w="109"/>
        <w:gridCol w:w="1288"/>
        <w:gridCol w:w="1288"/>
        <w:gridCol w:w="1819"/>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ASCEND WELLNESS HOLDINGS, INC.</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Francis Perullo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Abner Kurtin</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Francis Perullo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and Title:</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Abner Kurtin, Chief Executive Officer</w:t>
            </w:r>
          </w:p>
        </w:tc>
      </w:tr>
    </w:tbl>
    <w:p>
      <w:pPr>
        <w:pStyle w:val="TextBody"/>
        <w:spacing w:before="0" w:after="180"/>
        <w:ind w:left="0" w:right="0" w:firstLine="720"/>
        <w:jc w:val="center"/>
        <w:rPr/>
      </w:pPr>
      <w:r>
        <w:rPr/>
      </w:r>
    </w:p>
    <w:p>
      <w:pPr>
        <w:pStyle w:val="TextBody"/>
        <w:spacing w:before="0" w:after="180"/>
        <w:ind w:left="0" w:right="0" w:firstLine="720"/>
        <w:jc w:val="center"/>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rPr/>
      </w:pPr>
      <w:r>
        <w:rPr/>
      </w:r>
    </w:p>
    <w:p>
      <w:pPr>
        <w:pStyle w:val="TextBody"/>
        <w:spacing w:before="0" w:after="18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76" w:before="0" w:after="180"/>
        <w:jc w:val="center"/>
        <w:rPr>
          <w:rFonts w:ascii="Times New Roman;sans-serif" w:hAnsi="Times New Roman;sans-serif"/>
          <w:b/>
          <w:color w:val="000000"/>
          <w:sz w:val="24"/>
        </w:rPr>
      </w:pPr>
      <w:r>
        <w:rPr>
          <w:rFonts w:ascii="Times New Roman;sans-serif" w:hAnsi="Times New Roman;sans-serif"/>
          <w:b/>
          <w:color w:val="000000"/>
          <w:sz w:val="24"/>
        </w:rPr>
        <w:t>EMPLOYMENT AGREEMENT</w:t>
      </w:r>
    </w:p>
    <w:p>
      <w:pPr>
        <w:pStyle w:val="TextBody"/>
        <w:spacing w:lineRule="auto" w:line="288" w:before="0" w:after="180"/>
        <w:ind w:left="0" w:right="0" w:firstLine="720"/>
        <w:rPr/>
      </w:pPr>
      <w:r>
        <w:rPr>
          <w:rFonts w:ascii="Times New Roman;sans-serif" w:hAnsi="Times New Roman;sans-serif"/>
          <w:b w:val="false"/>
          <w:color w:val="000000"/>
          <w:sz w:val="24"/>
        </w:rPr>
        <w:t>This Employment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March 1, 2022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and entered into by and between Ascend Wellness Holdings, Inc., a Delaware corporation with a principal place of business at 1411 Broadway, 16th Floor, New York, NY 10018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Robin Debiase, an individual whose principal business address is in care of the Company at 1411 Broadway, 16th Floor, New York, NY 10018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xml:space="preserve">). </w: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Executive has served and will continue to serve as the Chief People Officer of the Company; and</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memorialize the terms of the Executive’s employment as Chief People Officer, on the terms and conditions hereinafter set forth.</w: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AGREEMENT</w: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premises and the mutual promises, terms, provisions and conditions set forth in this Agreement, the parties hereby agree:</w:t>
      </w:r>
    </w:p>
    <w:p>
      <w:pPr>
        <w:pStyle w:val="TextBody"/>
        <w:spacing w:lineRule="auto" w:line="288" w:before="0" w:after="180"/>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 Subject to the terms and conditions set forth in this Agreement, the Company hereby offers, and the Executive hereby accepts, continued employment as Chief People Officer of the Company.</w:t>
      </w:r>
    </w:p>
    <w:p>
      <w:pPr>
        <w:pStyle w:val="TextBody"/>
        <w:spacing w:lineRule="auto" w:line="288" w:before="0" w:after="18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At Will</w:t>
      </w:r>
      <w:r>
        <w:rPr>
          <w:rFonts w:ascii="Times New Roman;sans-serif" w:hAnsi="Times New Roman;sans-serif"/>
          <w:b w:val="false"/>
          <w:color w:val="000000"/>
          <w:sz w:val="24"/>
        </w:rPr>
        <w:t>. The Executive is an employee at will and nothing in this Agreement is intended to change that status in any way. As a result, the Executive and/or the Company can terminate the employment relationship at any time. The parties agree, however, that if the Company terminates the employment relationship without Cause (as defined herein), then the executive shall be eligible to receive the benefits set forth below in Section 4. This agreement supersedes all previous offer letters of employment and agreements, including but not limited to that certain Employment Offer Letter dated January 15, 2022. This Agreement shall expire upon the one-year anniversary of the Effective Date.</w:t>
      </w:r>
    </w:p>
    <w:p>
      <w:pPr>
        <w:pStyle w:val="TextBody"/>
        <w:spacing w:lineRule="auto" w:line="288" w:before="0" w:after="18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Capacity and Performance</w:t>
      </w:r>
      <w:r>
        <w:rPr>
          <w:rFonts w:ascii="Times New Roman;sans-serif" w:hAnsi="Times New Roman;sans-serif"/>
          <w:b w:val="false"/>
          <w:color w:val="000000"/>
          <w:sz w:val="24"/>
        </w:rPr>
        <w:t>.</w:t>
      </w:r>
    </w:p>
    <w:p>
      <w:pPr>
        <w:pStyle w:val="TextBody"/>
        <w:spacing w:lineRule="auto" w:line="288" w:before="0" w:after="180"/>
        <w:rPr/>
      </w:pPr>
      <w:r>
        <w:rPr>
          <w:rFonts w:ascii="Times New Roman;sans-serif" w:hAnsi="Times New Roman;sans-serif"/>
          <w:b w:val="false"/>
          <w:color w:val="000000"/>
          <w:sz w:val="24"/>
        </w:rPr>
        <w:t>(a)During the term hereof, the Executive shall serve the Company as Chief People Officer, reporting to the Chief Executive Officer of the Company or equivalent senior officer (the “</w:t>
      </w:r>
      <w:r>
        <w:rPr>
          <w:rFonts w:ascii="Times New Roman;sans-serif" w:hAnsi="Times New Roman;sans-serif"/>
          <w:b w:val="false"/>
          <w:color w:val="000000"/>
          <w:sz w:val="24"/>
          <w:u w:val="single"/>
        </w:rPr>
        <w:t>CEO</w:t>
      </w:r>
      <w:r>
        <w:rPr>
          <w:color w:val="000000"/>
        </w:rPr>
        <w:t>”</w:t>
      </w:r>
      <w:r>
        <w:rPr>
          <w:rFonts w:ascii="Times New Roman;sans-serif" w:hAnsi="Times New Roman;sans-serif"/>
          <w:b w:val="false"/>
          <w:color w:val="000000"/>
          <w:sz w:val="24"/>
        </w:rPr>
        <w:t>).</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(b)During the term hereof, the Executive shall be employed by the Company on a full-time and diligent basis and shall perform such duties and responsibilities on behalf of the Company as are customarily performed by a Chief People Officer of a company of comparable size and as may be reasonably designated from time to time by the CEO.</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(c)During the term hereof, the Executive shall not, directly or indirectly, render any services of a business, commercial or professional nature to any person or entity other than the Company (or any affiliate thereof), whether for compensation or otherwise, without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7205"/>
                <wp:effectExtent l="0" t="0" r="0" b="0"/>
                <wp:wrapNone/>
                <wp:docPr id="73" name="Frame7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 xml:space="preserve">prior written consent of the Board, which shall not be unreasonably withheld. For the avoidance of doubt, notwithstanding the foregoing, the Executive may (i) engage in the activities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so long as such activities do not (A) individually or in the aggregate, interfere with the performance of the Executive’s duties under this Agreement and (B) materially change in nature or scope of the Executive’s engagement after the Effective Date, in which case the 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in any way with the Company or any of its affiliates. </w:t>
      </w:r>
    </w:p>
    <w:p>
      <w:pPr>
        <w:pStyle w:val="TextBody"/>
        <w:spacing w:lineRule="auto" w:line="288" w:before="0" w:after="180"/>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 As compensation for all services performed by the Executive under this Agreement and during the term hereof and subject to performance of the Executive’s duties and obligations to the Company pursuant to this Agreement:</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The Company shall pay the Executive a base salary at the rate of $375,000 per annum.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Bonus upon Change of Control Event</w:t>
      </w:r>
      <w:r>
        <w:rPr>
          <w:rFonts w:ascii="Times New Roman;sans-serif" w:hAnsi="Times New Roman;sans-serif"/>
          <w:b w:val="false"/>
          <w:color w:val="000000"/>
          <w:sz w:val="24"/>
        </w:rPr>
        <w:t>. Upon the consummation of a change of control (as defined in the 2021 Incentive Plan), and concurrent with the payment of any consideration to any other holders of capital stock of the Company in connection with such change of control, the Executive shall be deemed to have earned a bonus equal to 100% of the Executive’s base salary (the “</w:t>
      </w:r>
      <w:r>
        <w:rPr>
          <w:rFonts w:ascii="Times New Roman;sans-serif" w:hAnsi="Times New Roman;sans-serif"/>
          <w:b w:val="false"/>
          <w:color w:val="000000"/>
          <w:sz w:val="24"/>
          <w:u w:val="single"/>
        </w:rPr>
        <w:t>Change in Control Bonus</w:t>
      </w:r>
      <w:r>
        <w:rPr>
          <w:color w:val="000000"/>
        </w:rPr>
        <w:t>”</w:t>
      </w:r>
      <w:r>
        <w:rPr>
          <w:rFonts w:ascii="Times New Roman;sans-serif" w:hAnsi="Times New Roman;sans-serif"/>
          <w:b w:val="false"/>
          <w:color w:val="000000"/>
          <w:sz w:val="24"/>
        </w:rPr>
        <w:t>) for each fiscal year during the remainder of the term (inclusive of partial fiscal years). Notwithstanding anything to the contrary contained herein, the obligations of the Company to pay the Change of Control Bonus to Executive shall survive any termination of this Agreement by reason of death, disability or termination of employment of Executive without limitation, except that the Company’s obligation to pay the Change of Control Bonus shall terminate concurrently with any termination of Executive’s employment for Cause (as defined in Section 5(c) below).</w: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Equity Incentives</w:t>
      </w:r>
      <w:r>
        <w:rPr>
          <w:rFonts w:ascii="Times New Roman;sans-serif" w:hAnsi="Times New Roman;sans-serif"/>
          <w:b w:val="false"/>
          <w:color w:val="000000"/>
          <w:sz w:val="24"/>
        </w:rPr>
        <w:t xml:space="preserve">. During the term hereof, the Executive shall be eligible to receive equity grants under the 2021 Incentive Plan, or any successor plan for the issuance of stock options, restricted stock, or other equity incentives hereafter maintained by the Company and in which other senior executives of the Company participate. Any and all grants to the Executive under the 2021 Incentive Plan or any such successor plan shall be made at the sole discretion of the Board and shall be subject to the terms and conditions of the applicable award agreement. </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Vacations</w:t>
      </w:r>
      <w:r>
        <w:rPr>
          <w:rFonts w:ascii="Times New Roman;sans-serif" w:hAnsi="Times New Roman;sans-serif"/>
          <w:b w:val="false"/>
          <w:color w:val="000000"/>
          <w:sz w:val="24"/>
        </w:rPr>
        <w:t>. During the term hereof, the Executive shall be entitled to vacation, personal days, sick time and similar paid time off benefits in accordance with the applicable policies of the Company, as in effect from time to time.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Insurance Benefits</w:t>
      </w:r>
      <w:r>
        <w:rPr>
          <w:rFonts w:ascii="Times New Roman;sans-serif" w:hAnsi="Times New Roman;sans-serif"/>
          <w:b w:val="false"/>
          <w:color w:val="000000"/>
          <w:sz w:val="24"/>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w:t>
      </w:r>
      <w:r>
        <w:rPr>
          <w:rFonts w:ascii="Times New Roman;sans-serif" w:hAnsi="Times New Roman;sans-serif"/>
          <w:b w:val="false"/>
          <w:color w:val="000000"/>
          <w:sz w:val="24"/>
          <w:u w:val="single"/>
        </w:rPr>
        <w:t>Insurance Benefits</w:t>
      </w:r>
      <w:r>
        <w:rPr>
          <w:color w:val="000000"/>
        </w:rPr>
        <w:t>”</w:t>
      </w:r>
      <w:r>
        <w:rPr>
          <w:rFonts w:ascii="Times New Roman;sans-serif" w:hAnsi="Times New Roman;sans-serif"/>
          <w:b w:val="false"/>
          <w:color w:val="000000"/>
          <w:sz w:val="24"/>
        </w:rPr>
        <w:t xml:space="preserve">).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 </w:t>
      </w:r>
    </w:p>
    <w:p>
      <w:pPr>
        <w:pStyle w:val="TextBody"/>
        <w:spacing w:lineRule="auto" w:line="288" w:before="0" w:after="18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Business Expenses</w:t>
      </w:r>
      <w:r>
        <w:rPr>
          <w:rFonts w:ascii="Times New Roman;sans-serif" w:hAnsi="Times New Roman;sans-serif"/>
          <w:b w:val="false"/>
          <w:color w:val="000000"/>
          <w:sz w:val="24"/>
        </w:rPr>
        <w:t>. During the term hereof, the Company shall promptly pay or reimburse the Executive for all reasonable, customary and necessary business expenses incurred or paid by the Executive in the performance of her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pStyle w:val="TextBody"/>
        <w:spacing w:lineRule="auto" w:line="288" w:before="0" w:after="18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Termination of Employment and Severance Benefits</w:t>
      </w:r>
      <w:r>
        <w:rPr>
          <w:rFonts w:ascii="Times New Roman;sans-serif" w:hAnsi="Times New Roman;sans-serif"/>
          <w:b w:val="false"/>
          <w:color w:val="000000"/>
          <w:sz w:val="24"/>
        </w:rPr>
        <w:t>. Notwithstanding the provisions of Section 2 hereof, the Executive’s employment hereunder shall terminate prior to the expiration of the term under the following circumstances:</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her estate,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(iii) any Annual Bonus earned under Section 4(b) with respect to the fiscal year immediately preceding the fiscal year in which such termination occurs, but only to the extent unpaid as of the date of termination (with any such earned Annual Bonus to be paid at the same time as if no such termination had occurred), and (iv)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w:t>
      </w:r>
      <w:r>
        <w:rPr>
          <w:rFonts w:ascii="Times New Roman;sans-serif" w:hAnsi="Times New Roman;sans-serif"/>
          <w:b w:val="false"/>
          <w:color w:val="000000"/>
          <w:sz w:val="24"/>
          <w:u w:val="single"/>
        </w:rPr>
        <w:t>Final Compensation</w:t>
      </w:r>
      <w:r>
        <w:rPr>
          <w:color w:val="000000"/>
        </w:rPr>
        <w:t>”</w:t>
      </w:r>
      <w:r>
        <w:rPr>
          <w:rFonts w:ascii="Times New Roman;sans-serif" w:hAnsi="Times New Roman;sans-serif"/>
          <w:b w:val="false"/>
          <w:color w:val="000000"/>
          <w:sz w:val="24"/>
        </w:rPr>
        <w:t>). In addition to Final Compensation, if the Executive’s employment terminates due to her death during the term hereof, the Executive will be entitled to (x) a prorated portion of any Annual Bonus earned for the fiscal year in which such termination occurs (calculated as the Annual Bonus that would have been paid for such fiscal year, multiplied by a fraction, the numerator of which is equal to the number of days the Executive worked for the Company in such fiscal year, and the denominator of which is equal to the total number of days in such fiscal year), with any such prorated Annual Bonus to be paid at the same time as if no such termination had occurred (the “</w:t>
      </w:r>
      <w:r>
        <w:rPr>
          <w:rFonts w:ascii="Times New Roman;sans-serif" w:hAnsi="Times New Roman;sans-serif"/>
          <w:b w:val="false"/>
          <w:color w:val="000000"/>
          <w:sz w:val="24"/>
          <w:u w:val="single"/>
        </w:rPr>
        <w:t>Prorated Bonus</w:t>
      </w:r>
      <w:r>
        <w:rPr>
          <w:color w:val="000000"/>
        </w:rPr>
        <w:t>”</w:t>
      </w:r>
      <w:r>
        <w:rPr>
          <w:rFonts w:ascii="Times New Roman;sans-serif" w:hAnsi="Times New Roman;sans-serif"/>
          <w:b w:val="false"/>
          <w:color w:val="000000"/>
          <w:sz w:val="24"/>
        </w:rPr>
        <w:t xml:space="preserve">) and (y) the Benefit Continuation he would have been entitled to receive under clause (iii) of Section 5(d) below had the Executive been terminated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by the Company other than for Cause in accordance with such Section 5(d). The Company shall have no further obligation to the Executive or her estate hereunder.</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w:t>
      </w:r>
    </w:p>
    <w:p>
      <w:pPr>
        <w:pStyle w:val="TextBody"/>
        <w:spacing w:lineRule="auto" w:line="288" w:before="0" w:after="180"/>
        <w:ind w:left="0" w:right="0" w:firstLine="494"/>
        <w:rPr/>
      </w:pPr>
      <w:r>
        <w:rPr>
          <w:rFonts w:ascii="Times New Roman;sans-serif" w:hAnsi="Times New Roman;sans-serif"/>
          <w:b w:val="false"/>
          <w:color w:val="000000"/>
          <w:sz w:val="24"/>
        </w:rPr>
        <w:t>(i)     The Company may terminate the Executive’s employment hereunder, upon notice to the Executive, in the event that the Executive becomes disabled during her employment hereunder through any illness, injury, accident or condition of either a physical or psychological nature and, as a result, is unable to perform substantially all of</w:t>
      </w:r>
      <w:r>
        <w:rPr>
          <w:color w:val="000000"/>
        </w:rPr>
        <w:t xml:space="preserve"> </w:t>
      </w:r>
      <w:r>
        <w:rPr>
          <w:rFonts w:ascii="Times New Roman;sans-serif" w:hAnsi="Times New Roman;sans-serif"/>
          <w:b w:val="false"/>
          <w:color w:val="000000"/>
          <w:sz w:val="24"/>
        </w:rPr>
        <w:t>her</w:t>
      </w:r>
      <w:r>
        <w:rPr>
          <w:color w:val="000000"/>
        </w:rPr>
        <w:t xml:space="preserve"> </w:t>
      </w:r>
      <w:r>
        <w:rPr>
          <w:rFonts w:ascii="Times New Roman;sans-serif" w:hAnsi="Times New Roman;sans-serif"/>
          <w:b w:val="false"/>
          <w:color w:val="000000"/>
          <w:sz w:val="24"/>
        </w:rPr>
        <w:t xml:space="preserve">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Prorated Bonus and (y) the Benefit Continuation he would have been entitled to receive under clause (iii) of Section 5(d) below had the Executive been terminated by the Company other than for Cause in accordance with such Section 5(d). The Company shall have no further obligation to the Executive hereunder. </w:t>
      </w:r>
    </w:p>
    <w:p>
      <w:pPr>
        <w:pStyle w:val="TextBody"/>
        <w:spacing w:lineRule="auto" w:line="288" w:before="0" w:after="180"/>
        <w:ind w:left="0" w:right="0" w:firstLine="427"/>
        <w:rPr>
          <w:rFonts w:ascii="Times New Roman;sans-serif" w:hAnsi="Times New Roman;sans-serif"/>
          <w:b w:val="false"/>
          <w:color w:val="000000"/>
          <w:sz w:val="24"/>
        </w:rPr>
      </w:pPr>
      <w:r>
        <w:rPr>
          <w:rFonts w:ascii="Times New Roman;sans-serif" w:hAnsi="Times New Roman;sans-serif"/>
          <w:b w:val="false"/>
          <w:color w:val="000000"/>
          <w:sz w:val="24"/>
        </w:rPr>
        <w:t>(ii)     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long-term disability income benefits under the Company’s disability income plan (or any disability insurance policy of the Company).</w:t>
      </w:r>
    </w:p>
    <w:p>
      <w:pPr>
        <w:pStyle w:val="TextBody"/>
        <w:spacing w:lineRule="auto" w:line="288" w:before="0" w:after="180"/>
        <w:ind w:left="0" w:right="0" w:firstLine="361"/>
        <w:rPr>
          <w:rFonts w:ascii="Times New Roman;sans-serif" w:hAnsi="Times New Roman;sans-serif"/>
          <w:b w:val="false"/>
          <w:color w:val="000000"/>
          <w:sz w:val="24"/>
        </w:rPr>
      </w:pPr>
      <w:r>
        <w:rPr>
          <w:rFonts w:ascii="Times New Roman;sans-serif" w:hAnsi="Times New Roman;sans-serif"/>
          <w:b w:val="false"/>
          <w:color w:val="000000"/>
          <w:sz w:val="24"/>
        </w:rPr>
        <w:t>(iii)     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her employment.</w:t>
      </w:r>
    </w:p>
    <w:p>
      <w:pPr>
        <w:pStyle w:val="TextBody"/>
        <w:spacing w:lineRule="auto" w:line="288" w:before="0" w:after="180"/>
        <w:ind w:left="0" w:right="0" w:firstLine="374"/>
        <w:rPr/>
      </w:pPr>
      <w:r>
        <w:rPr>
          <w:rFonts w:ascii="Times New Roman;sans-serif" w:hAnsi="Times New Roman;sans-serif"/>
          <w:b w:val="false"/>
          <w:color w:val="000000"/>
          <w:sz w:val="24"/>
        </w:rPr>
        <w:t xml:space="preserve">(iv)     Any determination as to whether during any period the Executive is disabled through any illness, injury, accident or condition of either a physical or psychological nature so as to be unable to perform substantially all of her duties and responsibilities hereunder shall be made by a physician satisfactory to both the Executive (or her duly appointed guardian) and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Executive and the Company do not agree on a physician, the Executive and the Company shall each select a physician and these two together shall select a third physician, whose determination as to disability shall be binding on all parties. If the Executive shall fail to submit to such medical examination, the Company’s determination of the issue shall be binding on the Executive.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By the Company for Cause</w:t>
      </w:r>
      <w:r>
        <w:rPr>
          <w:rFonts w:ascii="Times New Roman;sans-serif" w:hAnsi="Times New Roman;sans-serif"/>
          <w:b w:val="false"/>
          <w:color w:val="000000"/>
          <w:sz w:val="24"/>
        </w:rPr>
        <w:t>. The Company may terminate the Executive’s employment hereunder for Cause at any time upon notice to the Executive setting forth in reasonable detail the nature of such Cause. The following shall constitute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for termination:</w:t>
      </w:r>
    </w:p>
    <w:p>
      <w:pPr>
        <w:pStyle w:val="TextBody"/>
        <w:spacing w:lineRule="auto" w:line="288" w:before="0" w:after="180"/>
        <w:ind w:left="0" w:right="0" w:firstLine="494"/>
        <w:rPr>
          <w:rFonts w:ascii="Times New Roman;sans-serif" w:hAnsi="Times New Roman;sans-serif"/>
          <w:b w:val="false"/>
          <w:color w:val="000000"/>
          <w:sz w:val="24"/>
        </w:rPr>
      </w:pPr>
      <w:r>
        <w:rPr>
          <w:rFonts w:ascii="Times New Roman;sans-serif" w:hAnsi="Times New Roman;sans-serif"/>
          <w:b w:val="false"/>
          <w:color w:val="000000"/>
          <w:sz w:val="24"/>
        </w:rPr>
        <w:t xml:space="preserve">(i)     Repeated or willful refusal, failure or neglect by the Executive to perform the material duties of her employment or to follow the directions of the CEO or the Board (other than by reason of the Executive’s physical or mental illness or impairment); </w:t>
      </w:r>
    </w:p>
    <w:p>
      <w:pPr>
        <w:pStyle w:val="TextBody"/>
        <w:spacing w:lineRule="auto" w:line="288" w:before="0" w:after="180"/>
        <w:ind w:left="0" w:right="0" w:firstLine="427"/>
        <w:rPr>
          <w:rFonts w:ascii="Times New Roman;sans-serif" w:hAnsi="Times New Roman;sans-serif"/>
          <w:b w:val="false"/>
          <w:color w:val="000000"/>
          <w:sz w:val="24"/>
        </w:rPr>
      </w:pPr>
      <w:r>
        <w:rPr>
          <w:rFonts w:ascii="Times New Roman;sans-serif" w:hAnsi="Times New Roman;sans-serif"/>
          <w:b w:val="false"/>
          <w:color w:val="000000"/>
          <w:sz w:val="24"/>
        </w:rPr>
        <w:t>(ii)     The Executive’s committing any act of fraud, embezzlement, or theft;</w:t>
      </w:r>
    </w:p>
    <w:p>
      <w:pPr>
        <w:pStyle w:val="TextBody"/>
        <w:spacing w:lineRule="auto" w:line="288" w:before="0" w:after="180"/>
        <w:ind w:left="0" w:right="0" w:firstLine="361"/>
        <w:rPr>
          <w:rFonts w:ascii="Times New Roman;sans-serif" w:hAnsi="Times New Roman;sans-serif"/>
          <w:b w:val="false"/>
          <w:color w:val="000000"/>
          <w:sz w:val="24"/>
        </w:rPr>
      </w:pPr>
      <w:r>
        <w:rPr>
          <w:rFonts w:ascii="Times New Roman;sans-serif" w:hAnsi="Times New Roman;sans-serif"/>
          <w:b w:val="false"/>
          <w:color w:val="000000"/>
          <w:sz w:val="24"/>
        </w:rPr>
        <w:t xml:space="preserve">(iii)     The Executive’s material violation of the Company’s policies; </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(iv)     The Executive’s behavior or engagement in any acts that may interfere with the ability of the Company or any of its affiliates to maintain a license to harvest, cultivate, process, or sell cannabis or otherwise continue to operate its business;</w:t>
      </w:r>
    </w:p>
    <w:p>
      <w:pPr>
        <w:pStyle w:val="TextBody"/>
        <w:spacing w:lineRule="auto" w:line="288" w:before="0" w:after="180"/>
        <w:ind w:left="0" w:right="0" w:firstLine="440"/>
        <w:rPr>
          <w:rFonts w:ascii="Times New Roman;sans-serif" w:hAnsi="Times New Roman;sans-serif"/>
          <w:b w:val="false"/>
          <w:color w:val="000000"/>
          <w:sz w:val="24"/>
        </w:rPr>
      </w:pPr>
      <w:r>
        <w:rPr>
          <w:rFonts w:ascii="Times New Roman;sans-serif" w:hAnsi="Times New Roman;sans-serif"/>
          <w:b w:val="false"/>
          <w:color w:val="000000"/>
          <w:sz w:val="24"/>
        </w:rPr>
        <w:t>(v)     The Executive’s breach of any non-disclosure, non-disparagement, non-competition, non-solicitation, assignment of inventions agreement or other restrictive covenants set forth herein, other than the Executive’s inadvertent and immaterial breach of any non-competition or non-disclosure obligation that is not otherwise detrimental to the Company or any of its affiliates, as determined by the Board;</w:t>
      </w:r>
    </w:p>
    <w:p>
      <w:pPr>
        <w:pStyle w:val="TextBody"/>
        <w:spacing w:lineRule="auto" w:line="288" w:before="0" w:after="180"/>
        <w:ind w:left="0" w:right="0" w:firstLine="374"/>
        <w:rPr>
          <w:rFonts w:ascii="Times New Roman;sans-serif" w:hAnsi="Times New Roman;sans-serif"/>
          <w:b w:val="false"/>
          <w:color w:val="000000"/>
          <w:sz w:val="24"/>
        </w:rPr>
      </w:pPr>
      <w:r>
        <w:rPr>
          <w:rFonts w:ascii="Times New Roman;sans-serif" w:hAnsi="Times New Roman;sans-serif"/>
          <w:b w:val="false"/>
          <w:color w:val="000000"/>
          <w:sz w:val="24"/>
        </w:rPr>
        <w:t xml:space="preserve">(vi)     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 to interfere with the ability of the Company or any of its affiliates to maintain a license to harvest, cultivate, process, or sell cannabis or otherwise continue to operate its business; </w:t>
      </w:r>
    </w:p>
    <w:p>
      <w:pPr>
        <w:pStyle w:val="TextBody"/>
        <w:spacing w:lineRule="auto" w:line="288" w:before="0" w:after="180"/>
        <w:ind w:left="0" w:right="0" w:firstLine="307"/>
        <w:rPr>
          <w:rFonts w:ascii="Times New Roman;sans-serif" w:hAnsi="Times New Roman;sans-serif"/>
          <w:b w:val="false"/>
          <w:color w:val="000000"/>
          <w:sz w:val="24"/>
        </w:rPr>
      </w:pPr>
      <w:r>
        <w:rPr>
          <w:rFonts w:ascii="Times New Roman;sans-serif" w:hAnsi="Times New Roman;sans-serif"/>
          <w:b w:val="false"/>
          <w:color w:val="000000"/>
          <w:sz w:val="24"/>
        </w:rPr>
        <w:t xml:space="preserve">(vii)     The Executive’s willful engagement in dishonesty, illegal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illegal conduct is not likely to interfere with the ability of the Company or any of its affiliates to maintain a license to harvest, cultivate, process, or sell cannabis or otherwise continue to operate its business), or gross misconduct, which in each case is materially injurious (monetarily or otherwise) to the Company or its affiliates; or </w:t>
      </w:r>
    </w:p>
    <w:p>
      <w:pPr>
        <w:pStyle w:val="TextBody"/>
        <w:spacing w:lineRule="auto" w:line="288" w:before="0" w:after="180"/>
        <w:ind w:left="0" w:right="0" w:firstLine="241"/>
        <w:rPr>
          <w:rFonts w:ascii="Times New Roman;sans-serif" w:hAnsi="Times New Roman;sans-serif"/>
          <w:b w:val="false"/>
          <w:color w:val="000000"/>
          <w:sz w:val="24"/>
        </w:rPr>
      </w:pPr>
      <w:r>
        <w:rPr>
          <w:rFonts w:ascii="Times New Roman;sans-serif" w:hAnsi="Times New Roman;sans-serif"/>
          <w:b w:val="false"/>
          <w:color w:val="000000"/>
          <w:sz w:val="24"/>
        </w:rPr>
        <w:t>(viii)     The Executive’s material breach of the terms of this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on authority given pursuant to a resolution duly adopted by the Board or on the advice of counsel for the Company shall be conclusively presumed to be done, or omitted to be done, by the Executive in good faith and in the best interests of the Company.</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Termination of the Executive’s employment shall not be deemed to be for Cause unless and until (I) the Company has given notice thereof to the Executive specifying in reasonable detail the conduct constituting “Cause,” (II) solely with respect to the conduct described in clauses (i), (iii), (iv), (v) and (viii) above, the Executive fails to cure and correct her conduct (if capable of cure and correction) within thirty (30) days after such notice, and (III) the Company delivers to the Executive a copy of a resolution duly adopted by the affirmative vote of not less than two-thirds (2/3) of the Board (after the Executive is given an opportunity, together with counsel, to be heard before the Board), finding in good faith that the Executive has engaged in the conduct described in any of (i)-(viii) above.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Upon the giving of notice of termination of the Executive’s employment hereunder for Cause, the Company shall have no further obligation hereunder to the Executive, other than for Final Compensation.</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By the Company Other than for Cause</w:t>
      </w:r>
      <w:r>
        <w:rPr>
          <w:rFonts w:ascii="Times New Roman;sans-serif" w:hAnsi="Times New Roman;sans-serif"/>
          <w:b w:val="false"/>
          <w:color w:val="000000"/>
          <w:sz w:val="24"/>
        </w:rPr>
        <w:t>. The Company may terminate the Executive’s employment hereunder other than for Cause (and other than in connection with the Executive’s death or disability) at any time upon written notice to the Executive. In the event of such termination, then (i) the Company shall pay to the Executive the Final Compensation, (ii) the Company shall pay the Executive an amount equal to one and a half times the sum of Base Salary and Annual Bonus earned by the Executive for the full fiscal year immediately preceding the fiscal year in which such termination occurs (the “</w:t>
      </w:r>
      <w:r>
        <w:rPr>
          <w:rFonts w:ascii="Times New Roman;sans-serif" w:hAnsi="Times New Roman;sans-serif"/>
          <w:b w:val="false"/>
          <w:color w:val="000000"/>
          <w:sz w:val="24"/>
          <w:u w:val="single"/>
        </w:rPr>
        <w:t>Termination Compensation</w:t>
      </w:r>
      <w:r>
        <w:rPr>
          <w:color w:val="000000"/>
        </w:rPr>
        <w:t>”</w:t>
      </w:r>
      <w:r>
        <w:rPr>
          <w:rFonts w:ascii="Times New Roman;sans-serif" w:hAnsi="Times New Roman;sans-serif"/>
          <w:b w:val="false"/>
          <w:color w:val="000000"/>
          <w:sz w:val="24"/>
        </w:rPr>
        <w:t xml:space="preserve">), payable in substantially equal installments in accordance with the Company’s normal payroll practices as in effect from time to time, over the twelve (12) month period immediately following the termination date (with the first payment to be made on the first payroll date following the effective date of the Employee Release (as defined below) and to include a catch-up to cover any payment that would have been made prior to such date had the Employee Release been effective on the termination date); provided that, if such termination date occurs prior to the conclusion of one full fiscal year of employment from the original hire date, it shall be assumed, for purposes of determining the Termination Compensation, that Executive earned one full fiscal year of her current Base Salary and achieved an Annual Bonus of 100% of her current Base Salary; provided, further, that, if (and only if) such termination date occurs within eighteen (18) months after a Change of Control Event (as defined below), then the Termination Compensation shall be payable to the Executive in a lump sum payment on the first payroll date following the effective date of the Employee Release (rather than in installments, as provided above in this clause (ii)), (iii) subject to any employee contribution applicable to the Executive as of immediately prior to the date of termination, the Company shall continue to pay the cost of the Executive’s participation in the Company’s medical and dental insurance plans for a period of twelve (12)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months,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instead make monthly cash payments to the Executive in an amount equal to the employer portion of the monthly insurance premiums that would have been applicable had the Executive been eligible to continue such participation (the benefit described in this clause (iii), collectively, the “</w:t>
      </w:r>
      <w:r>
        <w:rPr>
          <w:rFonts w:ascii="Times New Roman;sans-serif" w:hAnsi="Times New Roman;sans-serif"/>
          <w:b w:val="false"/>
          <w:color w:val="000000"/>
          <w:sz w:val="24"/>
          <w:u w:val="single"/>
        </w:rPr>
        <w:t>Benefit Continuation</w:t>
      </w:r>
      <w:r>
        <w:rPr>
          <w:color w:val="000000"/>
        </w:rPr>
        <w:t>”</w:t>
      </w:r>
      <w:r>
        <w:rPr>
          <w:rFonts w:ascii="Times New Roman;sans-serif" w:hAnsi="Times New Roman;sans-serif"/>
          <w:b w:val="false"/>
          <w:color w:val="000000"/>
          <w:sz w:val="24"/>
        </w:rPr>
        <w:t>), (iv) the Prorated Bonus, and (v) notwithstanding the terms of any other agreement, instrument or document to the contrary (including without limitation any vesting terms, performance criteria or other conditions, and regardless of whether entered into before or after the date of this Agreement), upon such termination, Executive’s right to purchase or otherwise acquire any equity securities of the Company under any stock option or other agreement, instrument, plan, program or arrangement outstanding or in effect on the effective date of such termination shall thereupon vest in full (subject only to the payment of the applicable exercise or purchase price, if any, and provided that any equity awards that are subject to the satisfaction of performance goals shall be deemed earned at target performance), and any right of the Company or any subsidiary to repurchase any equity securities of the Company from Executive, whether arising under any option, agreement, instrument, plan, program, arrangement or otherwise, shall thereupon terminate. For purposes of this Agreement, the term “</w:t>
      </w:r>
      <w:r>
        <w:rPr>
          <w:rFonts w:ascii="Times New Roman;sans-serif" w:hAnsi="Times New Roman;sans-serif"/>
          <w:b w:val="false"/>
          <w:color w:val="000000"/>
          <w:sz w:val="24"/>
          <w:u w:val="single"/>
        </w:rPr>
        <w:t>Change of Control Event</w:t>
      </w:r>
      <w:r>
        <w:rPr>
          <w:color w:val="000000"/>
        </w:rPr>
        <w:t xml:space="preserve">” </w:t>
      </w:r>
      <w:r>
        <w:rPr>
          <w:rFonts w:ascii="Times New Roman;sans-serif" w:hAnsi="Times New Roman;sans-serif"/>
          <w:b w:val="false"/>
          <w:color w:val="000000"/>
          <w:sz w:val="24"/>
        </w:rPr>
        <w:t xml:space="preserve">shall mean the consummation, after the Effective Date, of (i) the sale of all or substantially all of the Company’s assets or at least a majority of voting power of the capital stock of the Company, (ii) any liquidation, dissolution or winding up of the Company, or (iii) the merger or consolidation of the Company with or into another entity, except a merger or consolidation in which the holders of capital stock of the Company immediately prior to such merger or consolidation continue to hold at least 50% of the voting power of the capital stock of the Company or the surviving or acquiring entity, as applicable; provided, however, that no event described in the foregoing clauses (i), (ii) and (iii) shall constitute a Change of Control Event for purposes of this Agreement unless it satisfies the requirements of Treasury Regulation Section 1.409A-3(i)(5)(v) or (vii). </w:t>
      </w:r>
    </w:p>
    <w:p>
      <w:pPr>
        <w:pStyle w:val="TextBody"/>
        <w:spacing w:lineRule="auto" w:line="288" w:before="0" w:after="180"/>
        <w:rPr/>
      </w:pPr>
      <w:r>
        <w:rPr>
          <w:rFonts w:ascii="Times New Roman;sans-serif" w:hAnsi="Times New Roman;sans-serif"/>
          <w:b w:val="false"/>
          <w:color w:val="000000"/>
          <w:sz w:val="24"/>
        </w:rPr>
        <w:t>(e)Any obligation of the Company to make the payments and provide the benefits to the Executive under Section 5 (other than Final Compensation) is conditioned, however, upon the Executive (or her estate or legal representative, as applicable) signing a general release of claims and covenant not to sue in such form and substance as may be agreed to by the Company and the Executive (or her estate or legal representative, as applicable) (the “</w:t>
      </w:r>
      <w:r>
        <w:rPr>
          <w:rFonts w:ascii="Times New Roman;sans-serif" w:hAnsi="Times New Roman;sans-serif"/>
          <w:b w:val="false"/>
          <w:color w:val="000000"/>
          <w:sz w:val="24"/>
          <w:u w:val="single"/>
        </w:rPr>
        <w:t>Employee Release</w:t>
      </w:r>
      <w:r>
        <w:rPr>
          <w:color w:val="000000"/>
        </w:rPr>
        <w:t>”</w:t>
      </w:r>
      <w:r>
        <w:rPr>
          <w:rFonts w:ascii="Times New Roman;sans-serif" w:hAnsi="Times New Roman;sans-serif"/>
          <w:b w:val="false"/>
          <w:color w:val="000000"/>
          <w:sz w:val="24"/>
        </w:rPr>
        <w:t>) within twenty-one days (or such greater period as the Company may specify) (the “</w:t>
      </w:r>
      <w:r>
        <w:rPr>
          <w:rFonts w:ascii="Times New Roman;sans-serif" w:hAnsi="Times New Roman;sans-serif"/>
          <w:b w:val="false"/>
          <w:color w:val="000000"/>
          <w:sz w:val="24"/>
          <w:u w:val="single"/>
        </w:rPr>
        <w:t>Release Period</w:t>
      </w:r>
      <w:r>
        <w:rPr>
          <w:color w:val="000000"/>
        </w:rPr>
        <w:t>”</w:t>
      </w:r>
      <w:r>
        <w:rPr>
          <w:rFonts w:ascii="Times New Roman;sans-serif" w:hAnsi="Times New Roman;sans-serif"/>
          <w:b w:val="false"/>
          <w:color w:val="000000"/>
          <w:sz w:val="24"/>
        </w:rPr>
        <w:t>) following the date of termination of employment and upon the Executive (or her estate or legal representative, as applicable) not revoking the Employee Release during the 7-day revocation period following the execution of the Employee Release (the “</w:t>
      </w:r>
      <w:r>
        <w:rPr>
          <w:rFonts w:ascii="Times New Roman;sans-serif" w:hAnsi="Times New Roman;sans-serif"/>
          <w:b w:val="false"/>
          <w:color w:val="000000"/>
          <w:sz w:val="24"/>
          <w:u w:val="single"/>
        </w:rPr>
        <w:t>Revocation Period</w:t>
      </w:r>
      <w:r>
        <w:rPr>
          <w:color w:val="000000"/>
        </w:rPr>
        <w:t>”</w:t>
      </w:r>
      <w:r>
        <w:rPr>
          <w:rFonts w:ascii="Times New Roman;sans-serif" w:hAnsi="Times New Roman;sans-serif"/>
          <w:b w:val="false"/>
          <w:color w:val="000000"/>
          <w:sz w:val="24"/>
        </w:rPr>
        <w:t xml:space="preserve">).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pStyle w:val="TextBody"/>
        <w:spacing w:lineRule="auto" w:line="288" w:before="0" w:after="180"/>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Effect of Termination</w:t>
      </w:r>
      <w:r>
        <w:rPr>
          <w:rFonts w:ascii="Times New Roman;sans-serif" w:hAnsi="Times New Roman;sans-serif"/>
          <w:b w:val="false"/>
          <w:color w:val="000000"/>
          <w:sz w:val="24"/>
        </w:rPr>
        <w:t>. The provisions of this Section 6 shall apply to a termination of the Executive’s employment with the Company hereunder, whether due to the expiration of the term hereof, pursuant to Section 5 or otherwise.</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(a)Payment by the Company of any applicable Final Compensation, Termination Compensation, Benefit Continuation, acceleration of equity vesting (or termination of Company repurchase rights, as applicable)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 necessary for the Company to determine the amount and duration of its obligations in connection with any termination pursuant to Section 5 hereof.</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(b)Except for the Benefit Continuation and equity-security related benefits pursuant to Section 5(d) hereof, all benefits shall terminate pursuant to the terms of the applicable benefit plans based on the date of termination of the Executive’s employment without regard to any continuation of any applicable Termination Compensation or other payment to the Executive following such date of termination.</w:t>
      </w:r>
    </w:p>
    <w:p>
      <w:pPr>
        <w:pStyle w:val="TextBody"/>
        <w:spacing w:lineRule="auto" w:line="288" w:before="0" w:after="180"/>
        <w:rPr/>
      </w:pPr>
      <w:r>
        <w:rPr>
          <w:rFonts w:ascii="Times New Roman;sans-serif" w:hAnsi="Times New Roman;sans-serif"/>
          <w:b w:val="false"/>
          <w:color w:val="000000"/>
          <w:sz w:val="24"/>
        </w:rPr>
        <w:t>(c)Provisions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or 5(d)</w:t>
      </w:r>
      <w:r>
        <w:rPr>
          <w:color w:val="000000"/>
        </w:rPr>
        <w:t xml:space="preserve"> </w:t>
      </w:r>
      <w:r>
        <w:rPr>
          <w:rFonts w:ascii="Times New Roman;sans-serif" w:hAnsi="Times New Roman;sans-serif"/>
          <w:b w:val="false"/>
          <w:color w:val="000000"/>
          <w:sz w:val="24"/>
        </w:rPr>
        <w:t>hereof (other than</w:t>
      </w:r>
      <w:r>
        <w:rPr>
          <w:color w:val="000000"/>
        </w:rPr>
        <w:t xml:space="preserve"> </w:t>
      </w:r>
      <w:r>
        <w:rPr>
          <w:rFonts w:ascii="Times New Roman;sans-serif" w:hAnsi="Times New Roman;sans-serif"/>
          <w:b w:val="false"/>
          <w:color w:val="000000"/>
          <w:sz w:val="24"/>
        </w:rPr>
        <w:t xml:space="preserve">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Restrictive Covenants</w:t>
      </w:r>
      <w:r>
        <w:rPr>
          <w:rFonts w:ascii="Times New Roman;sans-serif" w:hAnsi="Times New Roman;sans-serif"/>
          <w:b w:val="false"/>
          <w:color w:val="000000"/>
          <w:sz w:val="24"/>
        </w:rPr>
        <w:t>. As an inducement and as essential consideration for the Company to enter into this Agreement, and in exchange for other good and valuable consideration, the Executive hereby agrees to the restrictive covenants contained in this Section 7 (the “</w:t>
      </w:r>
      <w:r>
        <w:rPr>
          <w:rFonts w:ascii="Times New Roman;sans-serif" w:hAnsi="Times New Roman;sans-serif"/>
          <w:b w:val="false"/>
          <w:color w:val="000000"/>
          <w:sz w:val="24"/>
          <w:u w:val="single"/>
        </w:rPr>
        <w:t>Restrictive Covenants</w:t>
      </w:r>
      <w:r>
        <w:rPr>
          <w:color w:val="000000"/>
        </w:rPr>
        <w:t>”</w:t>
      </w:r>
      <w:r>
        <w:rPr>
          <w:rFonts w:ascii="Times New Roman;sans-serif" w:hAnsi="Times New Roman;sans-serif"/>
          <w:b w:val="false"/>
          <w:color w:val="000000"/>
          <w:sz w:val="24"/>
        </w:rPr>
        <w:t>).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shall also refer to the predecessors and successors of the Company and any of its affiliates (as the case may be).</w:t>
      </w:r>
    </w:p>
    <w:p>
      <w:pPr>
        <w:pStyle w:val="TextBody"/>
        <w:spacing w:lineRule="auto" w:line="288" w:before="0" w:after="180"/>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During the period commencing on the Effective Date and ending on the date that is twelve (12) months after the date on which the Executive’s employment hereunder terminates (the “</w:t>
      </w:r>
      <w:r>
        <w:rPr>
          <w:rFonts w:ascii="Times New Roman;sans-serif" w:hAnsi="Times New Roman;sans-serif"/>
          <w:b w:val="false"/>
          <w:color w:val="000000"/>
          <w:sz w:val="24"/>
          <w:u w:val="single"/>
        </w:rPr>
        <w:t>Termination Date</w:t>
      </w:r>
      <w:r>
        <w:rPr>
          <w:color w:val="000000"/>
        </w:rPr>
        <w:t>”</w:t>
      </w:r>
      <w:r>
        <w:rPr>
          <w:rFonts w:ascii="Times New Roman;sans-serif" w:hAnsi="Times New Roman;sans-serif"/>
          <w:b w:val="false"/>
          <w:color w:val="000000"/>
          <w:sz w:val="24"/>
        </w:rPr>
        <w:t>), regardless of the reason for the Executive’s termination of employment and regardless of who initiates such termination (such period, the “</w:t>
      </w:r>
      <w:r>
        <w:rPr>
          <w:rFonts w:ascii="Times New Roman;sans-serif" w:hAnsi="Times New Roman;sans-serif"/>
          <w:b w:val="false"/>
          <w:color w:val="000000"/>
          <w:sz w:val="24"/>
          <w:u w:val="single"/>
        </w:rPr>
        <w:t>Non-Competition Period</w:t>
      </w:r>
      <w:r>
        <w:rPr>
          <w:color w:val="000000"/>
        </w:rPr>
        <w:t>”</w:t>
      </w:r>
      <w:r>
        <w:rPr>
          <w:rFonts w:ascii="Times New Roman;sans-serif" w:hAnsi="Times New Roman;sans-serif"/>
          <w:b w:val="false"/>
          <w:color w:val="000000"/>
          <w:sz w:val="24"/>
        </w:rPr>
        <w:t>),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w:t>
      </w:r>
      <w:r>
        <w:rPr>
          <w:color w:val="000000"/>
        </w:rPr>
        <w:t xml:space="preserve"> </w:t>
      </w:r>
      <w:r>
        <w:rPr>
          <w:rFonts w:ascii="Times New Roman;sans-serif" w:hAnsi="Times New Roman;sans-serif"/>
          <w:b w:val="false"/>
          <w:color w:val="000000"/>
          <w:sz w:val="24"/>
        </w:rPr>
        <w:t>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set forth on Exhibit A or otherwise approved by the Board at any time prior to the Termination Date (the “</w:t>
      </w:r>
      <w:r>
        <w:rPr>
          <w:rFonts w:ascii="Times New Roman;sans-serif" w:hAnsi="Times New Roman;sans-serif"/>
          <w:b w:val="false"/>
          <w:color w:val="000000"/>
          <w:sz w:val="24"/>
          <w:u w:val="single"/>
        </w:rPr>
        <w:t>Competitive Business</w:t>
      </w:r>
      <w:r>
        <w:rPr>
          <w:color w:val="000000"/>
        </w:rPr>
        <w:t>”</w:t>
      </w:r>
      <w:r>
        <w:rPr>
          <w:rFonts w:ascii="Times New Roman;sans-serif" w:hAnsi="Times New Roman;sans-serif"/>
          <w:b w:val="false"/>
          <w:color w:val="000000"/>
          <w:sz w:val="24"/>
        </w:rPr>
        <w:t xml:space="preserve">). Notwithstanding the foregoing, nothing in this Section 7(a) shall prevent the Executive from (i) participating in any or all of the engagements or activities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so long as such engagements or activities do not (A) individually or in the aggregate, interfere with the performance of the Executive’s duties under this Agreement and (B) materially change in the nature or scope of the Executive’s engagement after the Effective Date or (ii) owning, as a passive investor, up to two percent (2%) of the securities of any entity that are publicly traded on a national securities exchange. </w:t>
      </w:r>
    </w:p>
    <w:p>
      <w:pPr>
        <w:pStyle w:val="TextBody"/>
        <w:spacing w:lineRule="auto" w:line="288" w:before="0" w:after="180"/>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Customer Non-Solicitation</w:t>
      </w:r>
      <w:r>
        <w:rPr>
          <w:rFonts w:ascii="Times New Roman;sans-serif" w:hAnsi="Times New Roman;sans-serif"/>
          <w:b w:val="false"/>
          <w:color w:val="000000"/>
          <w:sz w:val="24"/>
        </w:rPr>
        <w:t xml:space="preserve">. During the period commencing on the Effective Date and ending on the date that is twelve (12) months after the Termination Date, regardless of the reason for the Executive’s termination of employment and regardless of who initiates such termination, the Executive shall not (except on the Company’s behalf during the term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 </w:t>
      </w:r>
    </w:p>
    <w:p>
      <w:pPr>
        <w:pStyle w:val="TextBody"/>
        <w:spacing w:lineRule="auto" w:line="288" w:before="0" w:after="180"/>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Service Provider Non-Solicitation</w:t>
      </w:r>
      <w:r>
        <w:rPr>
          <w:rFonts w:ascii="Times New Roman;sans-serif" w:hAnsi="Times New Roman;sans-serif"/>
          <w:b w:val="false"/>
          <w:color w:val="000000"/>
          <w:sz w:val="24"/>
        </w:rPr>
        <w:t xml:space="preserve">. During the period commencing on the Effective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 </w:t>
      </w:r>
    </w:p>
    <w:p>
      <w:pPr>
        <w:pStyle w:val="TextBody"/>
        <w:spacing w:lineRule="auto" w:line="288" w:before="0" w:after="180"/>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 </w:t>
      </w:r>
    </w:p>
    <w:p>
      <w:pPr>
        <w:pStyle w:val="TextBody"/>
        <w:spacing w:lineRule="auto" w:line="288" w:before="0" w:after="180"/>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Confidentiality; Return of Property</w:t>
      </w:r>
      <w:r>
        <w:rPr>
          <w:rFonts w:ascii="Times New Roman;sans-serif" w:hAnsi="Times New Roman;sans-serif"/>
          <w:b w:val="false"/>
          <w:color w:val="000000"/>
          <w:sz w:val="24"/>
        </w:rPr>
        <w:t xml:space="preserve">. During the term hereof and at all times thereafter, the Executive shall not, without the prior express written consent of the Company, directly or indirectly, use on the Executive’s behalf or on behalf of any other person or entity,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 xml:space="preserve">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w:t>
      </w:r>
      <w:r>
        <w:rPr>
          <w:rFonts w:ascii="Times New Roman;sans-serif" w:hAnsi="Times New Roman;sans-serif"/>
          <w:b w:val="false"/>
          <w:color w:val="000000"/>
          <w:sz w:val="24"/>
          <w:highlight w:val="white"/>
        </w:rPr>
        <w:t xml:space="preserve">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w:t>
      </w:r>
      <w:r>
        <w:rPr>
          <w:rFonts w:ascii="Times New Roman;sans-serif" w:hAnsi="Times New Roman;sans-serif"/>
          <w:b w:val="false"/>
          <w:color w:val="000000"/>
          <w:sz w:val="24"/>
        </w:rPr>
        <w:t>seal, and (II) if the Executive files a lawsuit for retaliation by the Company for reporting a suspected violation of law, the Executive may disclose a trade secret to her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shall mean all information of a sensitive, confidential or proprietary nature respecting the business and activities of the Company or any of its affiliates, including, without limitation, the terms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and provisions of this Agreement (except for the terms and provisions of Section 7),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pStyle w:val="TextBody"/>
        <w:spacing w:lineRule="auto" w:line="288" w:before="0" w:after="180"/>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Ownership of Inventions</w:t>
      </w:r>
      <w:r>
        <w:rPr>
          <w:rFonts w:ascii="Times New Roman;sans-serif" w:hAnsi="Times New Roman;sans-serif"/>
          <w:b w:val="false"/>
          <w:color w:val="000000"/>
          <w:sz w:val="24"/>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w:t>
      </w:r>
      <w:r>
        <w:rPr>
          <w:rFonts w:ascii="Times New Roman;sans-serif" w:hAnsi="Times New Roman;sans-serif"/>
          <w:b w:val="false"/>
          <w:color w:val="000000"/>
          <w:sz w:val="24"/>
          <w:u w:val="single"/>
        </w:rPr>
        <w:t>Company IP</w:t>
      </w:r>
      <w:r>
        <w:rPr>
          <w:color w:val="000000"/>
        </w:rPr>
        <w:t>”</w:t>
      </w:r>
      <w:r>
        <w:rPr>
          <w:rFonts w:ascii="Times New Roman;sans-serif" w:hAnsi="Times New Roman;sans-serif"/>
          <w:b w:val="false"/>
          <w:color w:val="000000"/>
          <w:sz w:val="24"/>
        </w:rPr>
        <w:t xml:space="preserve">).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Effective Date, directly or indirectly challenge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validity or enforceability of the Company’s ownership of, or rights with respect to, any Company IP, including, without limitation, any patent issued on, or patent application filed in respect of, any Company Invention. For purposes of this Agreement, “</w:t>
      </w:r>
      <w:r>
        <w:rPr>
          <w:rFonts w:ascii="Times New Roman;sans-serif" w:hAnsi="Times New Roman;sans-serif"/>
          <w:b w:val="false"/>
          <w:color w:val="000000"/>
          <w:sz w:val="24"/>
          <w:u w:val="single"/>
        </w:rPr>
        <w:t>Company Invention</w:t>
      </w:r>
      <w:r>
        <w:rPr>
          <w:color w:val="000000"/>
        </w:rPr>
        <w:t xml:space="preserve">” </w:t>
      </w:r>
      <w:r>
        <w:rPr>
          <w:rFonts w:ascii="Times New Roman;sans-serif" w:hAnsi="Times New Roman;sans-serif"/>
          <w:b w:val="false"/>
          <w:color w:val="000000"/>
          <w:sz w:val="24"/>
        </w:rPr>
        <w:t>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Effective Date, but not before the commencement of Executive’s employment with the Company or its predecessor), (ii) at the direction or request of the Company or any of its affiliates (whether before, on, or after the Effective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but not before the commencement of Executive’s employment with the Company or its predecessor). For purposes of this Agreement, “</w:t>
      </w:r>
      <w:r>
        <w:rPr>
          <w:rFonts w:ascii="Times New Roman;sans-serif" w:hAnsi="Times New Roman;sans-serif"/>
          <w:b w:val="false"/>
          <w:color w:val="000000"/>
          <w:sz w:val="24"/>
          <w:u w:val="single"/>
        </w:rPr>
        <w:t>Invention</w:t>
      </w:r>
      <w:r>
        <w:rPr>
          <w:color w:val="000000"/>
        </w:rPr>
        <w:t xml:space="preserve">” </w:t>
      </w:r>
      <w:r>
        <w:rPr>
          <w:rFonts w:ascii="Times New Roman;sans-serif" w:hAnsi="Times New Roman;sans-serif"/>
          <w:b w:val="false"/>
          <w:color w:val="000000"/>
          <w:sz w:val="24"/>
        </w:rPr>
        <w:t>shall mean any invention, formula, therapy, diagnostic technique, discovery, improvement, idea, technique, design, method, art, process, methodology, algorithm, machine, development, product, service, technology, strategy, software, work of authorship or other Works (as defined below), trade secret, innovation, trademark, data, database, or the like, whether or not patentable, together with all intellectual property rights therein.</w:t>
      </w:r>
    </w:p>
    <w:p>
      <w:pPr>
        <w:pStyle w:val="TextBody"/>
        <w:spacing w:lineRule="auto" w:line="288" w:before="0" w:after="180"/>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Works for Hire</w:t>
      </w:r>
      <w:r>
        <w:rPr>
          <w:rFonts w:ascii="Times New Roman;sans-serif" w:hAnsi="Times New Roman;sans-serif"/>
          <w:b w:val="false"/>
          <w:color w:val="000000"/>
          <w:sz w:val="24"/>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Effective Date), (ii) at the direction or request of the Company or any of its affiliates (whether before, on, or after the Effective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t>
      </w:r>
      <w:r>
        <w:rPr>
          <w:rFonts w:ascii="Times New Roman;sans-serif" w:hAnsi="Times New Roman;sans-serif"/>
          <w:b w:val="false"/>
          <w:color w:val="000000"/>
          <w:sz w:val="24"/>
          <w:u w:val="single"/>
        </w:rPr>
        <w:t>Works</w:t>
      </w:r>
      <w:r>
        <w:rPr>
          <w:color w:val="000000"/>
        </w:rPr>
        <w:t>”</w:t>
      </w:r>
      <w:r>
        <w:rPr>
          <w:rFonts w:ascii="Times New Roman;sans-serif" w:hAnsi="Times New Roman;sans-serif"/>
          <w:b w:val="false"/>
          <w:color w:val="000000"/>
          <w:sz w:val="24"/>
        </w:rPr>
        <w:t xml:space="preserve">),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During and after the term hereof, the Executive agrees to cooperate with the Company and its affiliates in any internal investigation, any administrative, regulatory, or judicial proceeding or any dispute with a third 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pStyle w:val="TextBody"/>
        <w:spacing w:lineRule="auto" w:line="288" w:before="0" w:after="180"/>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Notification Requirement</w:t>
      </w:r>
      <w:r>
        <w:rPr>
          <w:rFonts w:ascii="Times New Roman;sans-serif" w:hAnsi="Times New Roman;sans-serif"/>
          <w:b w:val="false"/>
          <w:color w:val="000000"/>
          <w:sz w:val="24"/>
        </w:rPr>
        <w:t>. Until the expiration of the period or periods for Restrictive Covenants (as applicable), the Executive shall, upon a reasonable request by the Company, give notice to the Company of any new business activity</w:t>
      </w:r>
      <w:r>
        <w:rPr>
          <w:color w:val="000000"/>
        </w:rPr>
        <w:t xml:space="preserve"> </w:t>
      </w:r>
      <w:r>
        <w:rPr>
          <w:rFonts w:ascii="Times New Roman;sans-serif" w:hAnsi="Times New Roman;sans-serif"/>
          <w:b w:val="false"/>
          <w:color w:val="000000"/>
          <w:sz w:val="24"/>
        </w:rPr>
        <w:t>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w:t>
      </w:r>
      <w:r>
        <w:rPr>
          <w:rFonts w:ascii="Times New Roman;sans-serif" w:hAnsi="Times New Roman;sans-serif"/>
          <w:b w:val="false"/>
          <w:color w:val="000000"/>
          <w:sz w:val="24"/>
          <w:u w:val="single"/>
        </w:rPr>
        <w:t>Person</w:t>
      </w:r>
      <w:r>
        <w:rPr>
          <w:color w:val="000000"/>
        </w:rPr>
        <w:t>”</w:t>
      </w:r>
      <w:r>
        <w:rPr>
          <w:rFonts w:ascii="Times New Roman;sans-serif" w:hAnsi="Times New Roman;sans-serif"/>
          <w:b w:val="false"/>
          <w:color w:val="000000"/>
          <w:sz w:val="24"/>
        </w:rPr>
        <w:t>)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pStyle w:val="TextBody"/>
        <w:spacing w:lineRule="auto" w:line="288" w:before="0" w:after="180"/>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Enforcement of Covenants</w:t>
      </w:r>
      <w:r>
        <w:rPr>
          <w:rFonts w:ascii="Times New Roman;sans-serif" w:hAnsi="Times New Roman;sans-serif"/>
          <w:b w:val="false"/>
          <w:color w:val="000000"/>
          <w:sz w:val="24"/>
        </w:rPr>
        <w:t xml:space="preserve">.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further acknowledges that, were he to breach any of the Restrictive Covenants, the damage to the Company and its affiliates would be irreparable. The Executive therefore agrees that the Company and its affiliates, in addition to any other legal or equitable remedies available to them, shall be entitled to preliminary and permanent injunctive relief against any breach or threatened breach by the Executive of any of the Restrictive Covenants, without having to post bond, and to specific performance of each of the terms thereof, and shall be entitled to recover their reasonable costs and attorneys’ fees in enforcing the Restrictive Covenants. The Executive further agrees that (i) any breach or claimed breach of the provisions of this Agreement by, or any other claim the Executive may have against, the Company or any of its affiliates will not be a defense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enforcement of any Restrictive Covenant and (ii) the circumstances of the Executive’s termination of employment with the Company will have no impact on the Executive’s obligations to comply with any Restrictive Covenant. The Restrictive Covenants are intended for the benefit of the Company and each of its affiliates. Each affiliate of the Company is an intended third 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 </w:t>
      </w:r>
    </w:p>
    <w:p>
      <w:pPr>
        <w:pStyle w:val="TextBody"/>
        <w:spacing w:lineRule="auto" w:line="288" w:before="0" w:after="180"/>
        <w:rPr/>
      </w:pPr>
      <w:r>
        <w:rPr>
          <w:rFonts w:ascii="Times New Roman;sans-serif" w:hAnsi="Times New Roman;sans-serif"/>
          <w:b w:val="false"/>
          <w:color w:val="000000"/>
          <w:sz w:val="24"/>
        </w:rPr>
        <w:t>(k)</w:t>
      </w:r>
      <w:r>
        <w:rPr>
          <w:rFonts w:ascii="Times New Roman;sans-serif" w:hAnsi="Times New Roman;sans-serif"/>
          <w:b w:val="false"/>
          <w:color w:val="000000"/>
          <w:sz w:val="24"/>
          <w:u w:val="single"/>
        </w:rPr>
        <w:t>Notification of New Employer</w:t>
      </w:r>
      <w:r>
        <w:rPr>
          <w:rFonts w:ascii="Times New Roman;sans-serif" w:hAnsi="Times New Roman;sans-serif"/>
          <w:b w:val="false"/>
          <w:color w:val="000000"/>
          <w:sz w:val="24"/>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pStyle w:val="TextBody"/>
        <w:spacing w:lineRule="auto" w:line="288" w:before="0" w:after="180"/>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Excise Tax</w:t>
      </w:r>
      <w:r>
        <w:rPr>
          <w:rFonts w:ascii="Times New Roman;sans-serif" w:hAnsi="Times New Roman;sans-serif"/>
          <w:b w:val="false"/>
          <w:color w:val="000000"/>
          <w:sz w:val="24"/>
        </w:rPr>
        <w:t xml:space="preserve">. </w:t>
      </w:r>
    </w:p>
    <w:p>
      <w:pPr>
        <w:pStyle w:val="TextBody"/>
        <w:spacing w:lineRule="auto" w:line="288" w:before="0" w:after="180"/>
        <w:rPr/>
      </w:pPr>
      <w:r>
        <w:rPr>
          <w:rFonts w:ascii="Times New Roman;sans-serif" w:hAnsi="Times New Roman;sans-serif"/>
          <w:b w:val="false"/>
          <w:color w:val="000000"/>
          <w:sz w:val="24"/>
        </w:rPr>
        <w:t>(a)Notwithstanding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sans-serif" w:hAnsi="Times New Roman;sans-serif"/>
          <w:b w:val="false"/>
          <w:color w:val="000000"/>
          <w:sz w:val="24"/>
          <w:u w:val="single"/>
        </w:rPr>
        <w:t>Total Payments</w:t>
      </w:r>
      <w:r>
        <w:rPr>
          <w:color w:val="000000"/>
        </w:rPr>
        <w:t>”</w:t>
      </w:r>
      <w:r>
        <w:rPr>
          <w:rFonts w:ascii="Times New Roman;sans-serif" w:hAnsi="Times New Roman;sans-serif"/>
          <w:b w:val="false"/>
          <w:color w:val="000000"/>
          <w:sz w:val="24"/>
        </w:rPr>
        <w:t>), is or will be subject to the excise tax imposed under Section 4999 of the Code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sans-serif" w:hAnsi="Times New Roman;sans-serif"/>
          <w:b w:val="false"/>
          <w:color w:val="000000"/>
          <w:sz w:val="24"/>
          <w:u w:val="single"/>
        </w:rPr>
        <w:t>Safe Harbor Amount</w:t>
      </w:r>
      <w:r>
        <w:rPr>
          <w:color w:val="000000"/>
        </w:rPr>
        <w:t xml:space="preserve">” </w:t>
      </w:r>
      <w:r>
        <w:rPr>
          <w:rFonts w:ascii="Times New Roman;sans-serif" w:hAnsi="Times New Roman;sans-serif"/>
          <w:b w:val="false"/>
          <w:color w:val="000000"/>
          <w:sz w:val="24"/>
        </w:rPr>
        <w:t>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pStyle w:val="TextBody"/>
        <w:spacing w:lineRule="auto" w:line="288" w:before="0" w:after="180"/>
        <w:rPr/>
      </w:pPr>
      <w:r>
        <w:rPr>
          <w:rFonts w:ascii="Times New Roman;sans-serif" w:hAnsi="Times New Roman;sans-serif"/>
          <w:b w:val="false"/>
          <w:color w:val="000000"/>
          <w:sz w:val="24"/>
        </w:rPr>
        <w:t>(b)The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w:t>
      </w:r>
      <w:r>
        <w:rPr>
          <w:rFonts w:ascii="Times New Roman;sans-serif" w:hAnsi="Times New Roman;sans-serif"/>
          <w:b w:val="false"/>
          <w:color w:val="000000"/>
          <w:sz w:val="24"/>
          <w:u w:val="single"/>
        </w:rPr>
        <w:t>Determining Party</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u w:val="single"/>
        </w:rPr>
        <w:t>provided</w:t>
      </w:r>
      <w:r>
        <w:rPr>
          <w:rFonts w:ascii="Times New Roman;sans-serif" w:hAnsi="Times New Roman;sans-serif"/>
          <w:b w:val="false"/>
          <w:color w:val="000000"/>
          <w:sz w:val="24"/>
        </w:rPr>
        <w:t xml:space="preserve">, that Executive shall be given advance notice of the Determining Party selected by the Company, and shall have the opportunity to reject the selection, within two business days of being notified of the selection, on the basis of that Determining Party’s having a conflict 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4"/>
        </w:rPr>
        <w:t>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w:t>
      </w:r>
      <w:r>
        <w:rPr>
          <w:rFonts w:ascii="Times New Roman;sans-serif" w:hAnsi="Times New Roman;sans-serif"/>
          <w:b w:val="false"/>
          <w:color w:val="000000"/>
          <w:sz w:val="24"/>
          <w:u w:val="single"/>
        </w:rPr>
        <w:t>Determination</w:t>
      </w:r>
      <w:r>
        <w:rPr>
          <w:color w:val="000000"/>
        </w:rPr>
        <w:t>”</w:t>
      </w:r>
      <w:r>
        <w:rPr>
          <w:rFonts w:ascii="Times New Roman;sans-serif" w:hAnsi="Times New Roman;sans-serif"/>
          <w:b w:val="false"/>
          <w:color w:val="000000"/>
          <w:sz w:val="24"/>
        </w:rPr>
        <w:t>),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pStyle w:val="TextBody"/>
        <w:spacing w:lineRule="auto" w:line="288" w:before="0" w:after="180"/>
        <w:rPr/>
      </w:pPr>
      <w:r>
        <w:rPr>
          <w:rFonts w:ascii="Times New Roman;sans-serif" w:hAnsi="Times New Roman;sans-serif"/>
          <w:b w:val="false"/>
          <w:color w:val="000000"/>
          <w:sz w:val="24"/>
        </w:rPr>
        <w:t>(c)If, notwithstanding any reduction described in this Section 8, the Internal Revenue Service (“</w:t>
      </w:r>
      <w:r>
        <w:rPr>
          <w:rFonts w:ascii="Times New Roman;sans-serif" w:hAnsi="Times New Roman;sans-serif"/>
          <w:b w:val="false"/>
          <w:color w:val="000000"/>
          <w:sz w:val="24"/>
          <w:u w:val="single"/>
        </w:rPr>
        <w:t>IRS</w:t>
      </w:r>
      <w:r>
        <w:rPr>
          <w:color w:val="000000"/>
        </w:rPr>
        <w:t>”</w:t>
      </w:r>
      <w:r>
        <w:rPr>
          <w:rFonts w:ascii="Times New Roman;sans-serif" w:hAnsi="Times New Roman;sans-serif"/>
          <w:b w:val="false"/>
          <w:color w:val="000000"/>
          <w:sz w:val="24"/>
        </w:rPr>
        <w:t>)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w:t>
      </w:r>
      <w:r>
        <w:rPr>
          <w:rFonts w:ascii="Times New Roman;sans-serif" w:hAnsi="Times New Roman;sans-serif"/>
          <w:b w:val="false"/>
          <w:color w:val="000000"/>
          <w:sz w:val="24"/>
          <w:u w:val="single"/>
        </w:rPr>
        <w:t>Repayment Amount</w:t>
      </w:r>
      <w:r>
        <w:rPr>
          <w:color w:val="000000"/>
        </w:rPr>
        <w:t xml:space="preserve">” </w:t>
      </w:r>
      <w:r>
        <w:rPr>
          <w:rFonts w:ascii="Times New Roman;sans-serif" w:hAnsi="Times New Roman;sans-serif"/>
          <w:b w:val="false"/>
          <w:color w:val="000000"/>
          <w:sz w:val="24"/>
        </w:rPr>
        <w:t>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(d)Notwithstanding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(e)If, following a reduction of the Total Payments pursuant to Section 8(a), the Determining Party or a court of competent jurisdiction determines that the Total Payments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(f)To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pStyle w:val="TextBody"/>
        <w:spacing w:lineRule="auto" w:line="288" w:before="0" w:after="180"/>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Conflicting Agreements</w:t>
      </w:r>
      <w:r>
        <w:rPr>
          <w:rFonts w:ascii="Times New Roman;sans-serif" w:hAnsi="Times New Roman;sans-serif"/>
          <w:b w:val="false"/>
          <w:color w:val="000000"/>
          <w:sz w:val="24"/>
        </w:rPr>
        <w:t>. The Executive hereby represents and warrants that the execution of this Agreement and the performance of</w:t>
      </w:r>
      <w:r>
        <w:rPr>
          <w:color w:val="000000"/>
        </w:rPr>
        <w:t xml:space="preserve"> </w:t>
      </w:r>
      <w:r>
        <w:rPr>
          <w:rFonts w:ascii="Times New Roman;sans-serif" w:hAnsi="Times New Roman;sans-serif"/>
          <w:b w:val="false"/>
          <w:color w:val="000000"/>
          <w:sz w:val="24"/>
        </w:rPr>
        <w:t>her</w:t>
      </w:r>
      <w:r>
        <w:rPr>
          <w:color w:val="000000"/>
        </w:rPr>
        <w:t xml:space="preserve"> </w:t>
      </w:r>
      <w:r>
        <w:rPr>
          <w:rFonts w:ascii="Times New Roman;sans-serif" w:hAnsi="Times New Roman;sans-serif"/>
          <w:b w:val="false"/>
          <w:color w:val="000000"/>
          <w:sz w:val="24"/>
        </w:rPr>
        <w:t>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her obligations hereunder, any and all of which are superseded by this Agreement. The Executive will not disclose to or use on behalf of the Company any proprietary information of a third party without such party’s consent.</w:t>
      </w:r>
    </w:p>
    <w:p>
      <w:pPr>
        <w:pStyle w:val="TextBody"/>
        <w:spacing w:lineRule="auto" w:line="288" w:before="0" w:after="180"/>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Indemnification</w:t>
      </w:r>
      <w:r>
        <w:rPr>
          <w:rFonts w:ascii="Times New Roman;sans-serif" w:hAnsi="Times New Roman;sans-serif"/>
          <w:b w:val="false"/>
          <w:color w:val="000000"/>
          <w:sz w:val="24"/>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her employment or other service with the Company or any of its affiliates (or the termination thereof).</w:t>
      </w:r>
    </w:p>
    <w:p>
      <w:pPr>
        <w:pStyle w:val="TextBody"/>
        <w:spacing w:lineRule="auto" w:line="288" w:before="0" w:after="180"/>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made by the Company under this Agreement shall be reduced by any tax or other amounts required to be withheld by the Company under applicable law.</w:t>
      </w:r>
    </w:p>
    <w:p>
      <w:pPr>
        <w:pStyle w:val="TextBody"/>
        <w:spacing w:lineRule="auto" w:line="288" w:before="0" w:after="180"/>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pStyle w:val="TextBody"/>
        <w:spacing w:lineRule="auto" w:line="288" w:before="0" w:after="180"/>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spacing w:lineRule="auto" w:line="288" w:before="0" w:after="180"/>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Amendment and Waiver</w:t>
      </w:r>
      <w:r>
        <w:rPr>
          <w:rFonts w:ascii="Times New Roman;sans-serif" w:hAnsi="Times New Roman;sans-serif"/>
          <w:b w:val="false"/>
          <w:color w:val="000000"/>
          <w:sz w:val="24"/>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pStyle w:val="TextBody"/>
        <w:spacing w:lineRule="auto" w:line="288" w:before="0" w:after="18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(a) if to the Executive, at her last known address on the books of the Company, with a copy to [***]; and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(b) if to the Company, at its principal place of business, attention, Secretary, with a copy to legal@awholdings.com; or </w: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(c) to such other address as either party may specify by notice to the other actually received.</w:t>
      </w:r>
    </w:p>
    <w:p>
      <w:pPr>
        <w:pStyle w:val="TextBody"/>
        <w:spacing w:lineRule="auto" w:line="288" w:before="0" w:after="180"/>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 </w:t>
      </w:r>
    </w:p>
    <w:p>
      <w:pPr>
        <w:pStyle w:val="TextBody"/>
        <w:spacing w:lineRule="auto" w:line="288" w:before="0" w:after="180"/>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and captions in this Agreement are for convenience only and in no way define or describe the scope or content of any provision of this Agreement.</w:t>
      </w:r>
    </w:p>
    <w:p>
      <w:pPr>
        <w:pStyle w:val="TextBody"/>
        <w:spacing w:lineRule="auto" w:line="288" w:before="0" w:after="180"/>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xml:space="preserve">.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pictorial appearance of a document, has the same effect as delivery of an executed original of this Agreement. </w:t>
      </w:r>
    </w:p>
    <w:p>
      <w:pPr>
        <w:pStyle w:val="TextBody"/>
        <w:spacing w:lineRule="auto" w:line="288" w:before="0" w:after="180"/>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Governing Law; Venue; WAIVER OF JURY TRIAL</w:t>
      </w:r>
      <w:r>
        <w:rPr>
          <w:rFonts w:ascii="Times New Roman;sans-serif" w:hAnsi="Times New Roman;sans-serif"/>
          <w:b w:val="false"/>
          <w:color w:val="000000"/>
          <w:sz w:val="24"/>
        </w:rPr>
        <w:t xml:space="preserve">.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w:t>
      </w:r>
      <w:r>
        <w:rPr>
          <w:rFonts w:ascii="Times New Roman;sans-serif" w:hAnsi="Times New Roman;sans-serif"/>
          <w:b/>
          <w:color w:val="000000"/>
          <w:sz w:val="24"/>
        </w:rPr>
        <w:t xml:space="preserve">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 </w:t>
      </w:r>
    </w:p>
    <w:p>
      <w:pPr>
        <w:pStyle w:val="TextBody"/>
        <w:spacing w:lineRule="auto" w:line="288" w:before="0" w:after="180"/>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Code Section 409A Compliance</w:t>
      </w:r>
      <w:r>
        <w:rPr>
          <w:rFonts w:ascii="Times New Roman;sans-serif" w:hAnsi="Times New Roman;sans-serif"/>
          <w:b w:val="false"/>
          <w:color w:val="000000"/>
          <w:sz w:val="24"/>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rFonts w:ascii="Times New Roman;sans-serif" w:hAnsi="Times New Roman;sans-serif"/>
          <w:b w:val="false"/>
          <w:color w:val="000000"/>
          <w:sz w:val="24"/>
        </w:rPr>
      </w:pPr>
      <w:r>
        <w:rPr>
          <w:rFonts w:ascii="Times New Roman;sans-serif" w:hAnsi="Times New Roman;sans-serif"/>
          <w:b w:val="false"/>
          <w:color w:val="000000"/>
          <w:sz w:val="24"/>
        </w:rPr>
        <w:t xml:space="preserve">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 </w:t>
      </w:r>
    </w:p>
    <w:p>
      <w:pPr>
        <w:pStyle w:val="TextBody"/>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spacing w:before="0" w:after="180"/>
        <w:rPr/>
      </w:pPr>
      <w:r>
        <w:rPr/>
      </w:r>
    </w:p>
    <w:p>
      <w:pPr>
        <w:pStyle w:val="TextBody"/>
        <w:spacing w:before="0" w:after="180"/>
        <w:ind w:left="0" w:right="0" w:firstLine="72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this Agreement has been executed as a sealed instrument by the Company, by its duly authorized representative, and by the Executive, as of the date first above written.</w:t>
      </w:r>
    </w:p>
    <w:tbl>
      <w:tblPr>
        <w:tblW w:w="6761" w:type="dxa"/>
        <w:jc w:val="left"/>
        <w:tblInd w:w="0" w:type="dxa"/>
        <w:tblCellMar>
          <w:top w:w="28" w:type="dxa"/>
          <w:left w:w="28" w:type="dxa"/>
          <w:bottom w:w="28" w:type="dxa"/>
          <w:right w:w="28" w:type="dxa"/>
        </w:tblCellMar>
      </w:tblPr>
      <w:tblGrid>
        <w:gridCol w:w="739"/>
        <w:gridCol w:w="649"/>
        <w:gridCol w:w="651"/>
        <w:gridCol w:w="109"/>
        <w:gridCol w:w="109"/>
        <w:gridCol w:w="109"/>
        <w:gridCol w:w="1288"/>
        <w:gridCol w:w="1288"/>
        <w:gridCol w:w="1819"/>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EXECUTIVE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ASCEND WELLNESS HOLDINGS, INC.</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Robin Debiase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Abner Kurtin</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Robin Debiase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 Name and Title:</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Abner Kurtin, Chief Executive Officer</w:t>
            </w:r>
          </w:p>
        </w:tc>
      </w:tr>
    </w:tbl>
    <w:p>
      <w:pPr>
        <w:pStyle w:val="TextBody"/>
        <w:spacing w:before="0" w:after="180"/>
        <w:rPr/>
      </w:pPr>
      <w:r>
        <w:rPr/>
      </w:r>
    </w:p>
    <w:p>
      <w:pPr>
        <w:pStyle w:val="TextBody"/>
        <w:spacing w:before="0" w:after="180"/>
        <w:jc w:val="center"/>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spacing w:lineRule="auto" w:line="288" w:before="0" w:after="18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Abner Kurtin, certify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for the registrant and have: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[paragraph omitted in accordance with Exchange Act Rule 13a-14(a)];</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tbl>
      <w:tblPr>
        <w:tblW w:w="4061" w:type="dxa"/>
        <w:jc w:val="left"/>
        <w:tblInd w:w="0" w:type="dxa"/>
        <w:tblCellMar>
          <w:top w:w="28" w:type="dxa"/>
          <w:left w:w="28" w:type="dxa"/>
          <w:bottom w:w="28" w:type="dxa"/>
          <w:right w:w="28" w:type="dxa"/>
        </w:tblCellMar>
      </w:tblPr>
      <w:tblGrid>
        <w:gridCol w:w="455"/>
        <w:gridCol w:w="401"/>
        <w:gridCol w:w="404"/>
        <w:gridCol w:w="109"/>
        <w:gridCol w:w="109"/>
        <w:gridCol w:w="109"/>
        <w:gridCol w:w="724"/>
        <w:gridCol w:w="724"/>
        <w:gridCol w:w="1026"/>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Abner Kurtin</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Abner Kurtin</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31.2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SECURITIES EXCHANGE ACT OF 1934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OR 15d-14(a) </w:t>
      </w:r>
    </w:p>
    <w:p>
      <w:pPr>
        <w:pStyle w:val="TextBody"/>
        <w:spacing w:before="0" w:after="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 Daniel Neville, certify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Ascend Wellness Holdings, Inc.;</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for the registrant and have:</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[paragraph omitted in accordance with Exchange Act Rule 13a-14(a)];</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before="0" w:after="0"/>
        <w:ind w:left="0" w:right="0" w:hanging="360"/>
        <w:jc w:val="both"/>
        <w:rPr/>
      </w:pPr>
      <w:r>
        <w:rPr/>
      </w:r>
    </w:p>
    <w:tbl>
      <w:tblPr>
        <w:tblW w:w="4002" w:type="dxa"/>
        <w:jc w:val="left"/>
        <w:tblInd w:w="0" w:type="dxa"/>
        <w:tblCellMar>
          <w:top w:w="28" w:type="dxa"/>
          <w:left w:w="28" w:type="dxa"/>
          <w:bottom w:w="28" w:type="dxa"/>
          <w:right w:w="28" w:type="dxa"/>
        </w:tblCellMar>
      </w:tblPr>
      <w:tblGrid>
        <w:gridCol w:w="455"/>
        <w:gridCol w:w="401"/>
        <w:gridCol w:w="404"/>
        <w:gridCol w:w="109"/>
        <w:gridCol w:w="109"/>
        <w:gridCol w:w="109"/>
        <w:gridCol w:w="707"/>
        <w:gridCol w:w="707"/>
        <w:gridCol w:w="1001"/>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7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13a-14(b) OR 15d-14(b) 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Ascend Wellness Holdings, Inc. (the “Company”) for the quarter ended September 30, 2021, as filed with the Securities and Exchange Commission on the date hereof (the “Report”), Abner Kurtin,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Exchange Act;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180"/>
        <w:rPr/>
      </w:pPr>
      <w:r>
        <w:rPr/>
      </w:r>
    </w:p>
    <w:p>
      <w:pPr>
        <w:pStyle w:val="TextBody"/>
        <w:spacing w:before="0" w:after="180"/>
        <w:rPr/>
      </w:pPr>
      <w:r>
        <w:rPr/>
      </w:r>
    </w:p>
    <w:tbl>
      <w:tblPr>
        <w:tblW w:w="4061" w:type="dxa"/>
        <w:jc w:val="left"/>
        <w:tblInd w:w="0" w:type="dxa"/>
        <w:tblCellMar>
          <w:top w:w="28" w:type="dxa"/>
          <w:left w:w="28" w:type="dxa"/>
          <w:bottom w:w="28" w:type="dxa"/>
          <w:right w:w="28" w:type="dxa"/>
        </w:tblCellMar>
      </w:tblPr>
      <w:tblGrid>
        <w:gridCol w:w="455"/>
        <w:gridCol w:w="401"/>
        <w:gridCol w:w="404"/>
        <w:gridCol w:w="109"/>
        <w:gridCol w:w="109"/>
        <w:gridCol w:w="109"/>
        <w:gridCol w:w="724"/>
        <w:gridCol w:w="724"/>
        <w:gridCol w:w="1026"/>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Abner Kurtin</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Abner Kurtin</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tbl>
      <w:tblPr>
        <w:tblW w:w="4002" w:type="dxa"/>
        <w:jc w:val="left"/>
        <w:tblInd w:w="0" w:type="dxa"/>
        <w:tblCellMar>
          <w:top w:w="28" w:type="dxa"/>
          <w:left w:w="28" w:type="dxa"/>
          <w:bottom w:w="28" w:type="dxa"/>
          <w:right w:w="28" w:type="dxa"/>
        </w:tblCellMar>
      </w:tblPr>
      <w:tblGrid>
        <w:gridCol w:w="455"/>
        <w:gridCol w:w="401"/>
        <w:gridCol w:w="404"/>
        <w:gridCol w:w="109"/>
        <w:gridCol w:w="109"/>
        <w:gridCol w:w="109"/>
        <w:gridCol w:w="707"/>
        <w:gridCol w:w="707"/>
        <w:gridCol w:w="1001"/>
      </w:tblGrid>
      <w:tr>
        <w:trPr/>
        <w:tc>
          <w:tcPr>
            <w:tcW w:w="455"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Neville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180"/>
        <w:rPr/>
      </w:pPr>
      <w:r>
        <w:rPr/>
      </w:r>
    </w:p>
    <w:p>
      <w:pPr>
        <w:pStyle w:val="TextBody"/>
        <w:spacing w:before="0" w:after="18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56390/000162828021007411/exhibit34-sx1a2.htm" TargetMode="External"/><Relationship Id="rId4" Type="http://schemas.openxmlformats.org/officeDocument/2006/relationships/hyperlink" Target="https://www.sec.gov/Archives/edgar/data/1756390/000162828021007411/exhibit35-sx1a2.htm" TargetMode="External"/><Relationship Id="rId5" Type="http://schemas.openxmlformats.org/officeDocument/2006/relationships/hyperlink" Target="https://www.sec.gov/Archives/edgar/data/1756390/000162828021013670/exhibit42-sx8.htm" TargetMode="External"/><Relationship Id="rId6" Type="http://schemas.openxmlformats.org/officeDocument/2006/relationships/hyperlink" Target="https://www.sec.gov/Archives/edgar/data/1756390/000162828021013670/exhibit43-sx8.htm" TargetMode="External"/><Relationship Id="rId7" Type="http://schemas.openxmlformats.org/officeDocument/2006/relationships/hyperlink" Target="https://www.sec.gov/Archives/edgar/data/1756390/000162828021006948/exhibit41-sx1a1.htm" TargetMode="External"/><Relationship Id="rId8" Type="http://schemas.openxmlformats.org/officeDocument/2006/relationships/hyperlink" Target="https://www.sec.gov/Archives/edgar/data/1756390/000162828021007411/exhibit42-sx1a2.htm" TargetMode="External"/><Relationship Id="rId9" Type="http://schemas.openxmlformats.org/officeDocument/2006/relationships/hyperlink" Target="https://www.sec.gov/Archives/edgar/data/1756390/000162828022010127/exhibit101-april19202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53</Pages>
  <Words>46421</Words>
  <CharactersWithSpaces>297691</CharactersWithSpaces>
  <Paragraphs>2259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