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 to______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ASCEND WELLNESS HOLDINGS,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83-0602006</w:t>
            </w:r>
          </w:p>
        </w:tc>
        <w:tc>
          <w:tcPr>
            <w:tcW w:w="200" w:type="dxa"/>
            <w:vAlign w:val="bottom"/>
          </w:tcPr>
          <w:p>
            <w:pPr>
              <w:spacing w:after="0"/>
              <w:rPr>
                <w:sz w:val="20"/>
                <w:szCs w:val="20"/>
                <w:color w:val="auto"/>
              </w:rPr>
            </w:pPr>
          </w:p>
        </w:tc>
      </w:tr>
      <w:tr>
        <w:trPr>
          <w:trHeight w:val="252"/>
        </w:trPr>
        <w:tc>
          <w:tcPr>
            <w:tcW w:w="220" w:type="dxa"/>
            <w:vAlign w:val="bottom"/>
          </w:tcPr>
          <w:p>
            <w:pPr>
              <w:spacing w:after="0"/>
              <w:rPr>
                <w:sz w:val="21"/>
                <w:szCs w:val="21"/>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2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5"/>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8"/>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44 Whippany Rd.</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Morristown, NJ 07960</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87"/>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40" w:type="dxa"/>
            <w:vAlign w:val="bottom"/>
            <w:gridSpan w:val="3"/>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5"/>
          </w:tcPr>
          <w:p>
            <w:pPr>
              <w:jc w:val="center"/>
              <w:ind w:right="34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7"/>
          </w:tcPr>
          <w:p>
            <w:pPr>
              <w:jc w:val="center"/>
              <w:ind w:right="262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5"/>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Trading Symbol(s)</w:t>
            </w:r>
          </w:p>
        </w:tc>
        <w:tc>
          <w:tcPr>
            <w:tcW w:w="4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50"/>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6"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jc w:val="both"/>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November 8, 2024, there were 214,365,317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3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volatility of the market price and liquidity risks on shares of our Class A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voting control exercised by holders of Class B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maintain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open new dispensaries and cultivation facilities as anticipated;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state and federal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regarding enforcement of cannabis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restricted access to banking and other financial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constraints on marketing and risks related to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tax treatment for cannabis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proposed legislation on our tax liabilities and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U.S. tax provisions related to controlled substances;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security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infringement or misappropriation claims by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potential future U.S. Food and Drug Administration (“FDA”)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publicity or consumer perception;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material acquisitions, dispositions and other strategic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agricultural and environmental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unknown health impacts associated with the use of cannabis and cannabis derivative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the results of future clinical research;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intense competition in the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maturation of the cannabis market;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changes in wholesale and retail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political and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outbreaks of pandemic diseases, fear of such outbreaks or economic disturbances due to such outbreaks;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risks, such as the unemployment level, interest rates, and inflation, and challenging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list of factors above is illustrative and by no means exhaustive. Additional information regarding these risks and other risks and uncertainties we face is contained in our Annual Report on Form 10-K for the year ended December 31, 2023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spacing w:after="0" w:line="1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220" w:type="dxa"/>
            <w:vAlign w:val="bottom"/>
          </w:tcPr>
          <w:p>
            <w:pPr>
              <w:spacing w:after="0"/>
              <w:rPr>
                <w:sz w:val="16"/>
                <w:szCs w:val="16"/>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6"/>
                <w:szCs w:val="16"/>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228,860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895,873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806,964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776,678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none issued and outstanding as of</w:t>
            </w:r>
          </w:p>
        </w:tc>
        <w:tc>
          <w:tcPr>
            <w:tcW w:w="2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September 30, 2024 and December 31, 2023</w:t>
            </w:r>
          </w:p>
        </w:tc>
        <w:tc>
          <w:tcPr>
            <w:tcW w:w="22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per share; 750,000 shares authorized; 214,346 and 206,810 shares</w:t>
            </w:r>
          </w:p>
        </w:tc>
        <w:tc>
          <w:tcPr>
            <w:tcW w:w="22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issued and outstanding at September 30, 2024 and December 31, 2023</w:t>
            </w:r>
          </w:p>
        </w:tc>
        <w:tc>
          <w:tcPr>
            <w:tcW w:w="2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per share, 100 shares authorized; 65 issued and outstanding at</w:t>
            </w:r>
          </w:p>
        </w:tc>
        <w:tc>
          <w:tcPr>
            <w:tcW w:w="2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September 30, 2024 and December 31, 2023</w:t>
            </w:r>
          </w:p>
        </w:tc>
        <w:tc>
          <w:tcPr>
            <w:tcW w:w="22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Equity of Ascend Wellness Holdings, Inc. common stockholders</w:t>
            </w:r>
          </w:p>
        </w:tc>
        <w:tc>
          <w:tcPr>
            <w:tcW w:w="2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88,909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142,872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895,873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ectPr>
          <w:pgSz w:w="11900" w:h="16838" w:orient="portrait"/>
          <w:cols w:equalWidth="0" w:num="1">
            <w:col w:w="11240"/>
          </w:cols>
          <w:pgMar w:left="320" w:top="1440"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380" w:type="dxa"/>
            <w:vAlign w:val="bottom"/>
          </w:tcPr>
          <w:p>
            <w:pPr>
              <w:spacing w:after="0"/>
              <w:rPr>
                <w:sz w:val="14"/>
                <w:szCs w:val="14"/>
                <w:color w:val="auto"/>
              </w:rPr>
            </w:pPr>
          </w:p>
        </w:tc>
        <w:tc>
          <w:tcPr>
            <w:tcW w:w="128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599"/>
              <w:spacing w:after="0" w:line="171"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141,647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425,593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378,432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(97,918)</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(288,254)</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(270,853)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43,729</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137,339</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46,146</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138,703</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(loss) profit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(32,456)</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(9,767)</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(34,383)</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(28,256)</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3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(11,240)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(68,203)</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(28,871)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loss per share attributable to Class A and Class B</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14"/>
                <w:szCs w:val="14"/>
                <w:color w:val="auto"/>
              </w:rPr>
            </w:pPr>
          </w:p>
        </w:tc>
        <w:tc>
          <w:tcPr>
            <w:tcW w:w="5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4"/>
                <w:szCs w:val="14"/>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80" w:type="dxa"/>
            <w:vAlign w:val="bottom"/>
          </w:tcPr>
          <w:p>
            <w:pPr>
              <w:spacing w:after="0"/>
              <w:rPr>
                <w:sz w:val="14"/>
                <w:szCs w:val="14"/>
                <w:color w:val="auto"/>
              </w:rPr>
            </w:pPr>
          </w:p>
        </w:tc>
        <w:tc>
          <w:tcPr>
            <w:tcW w:w="6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stockholders — basic and diluted</w:t>
            </w: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Weighted-average common shares outstanding — basic and</w:t>
            </w: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214,290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205,710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212,134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196,616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180" w:type="dxa"/>
            <w:vAlign w:val="bottom"/>
            <w:gridSpan w:val="5"/>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Class A and Class B</w:t>
            </w:r>
          </w:p>
        </w:tc>
        <w:tc>
          <w:tcPr>
            <w:tcW w:w="160" w:type="dxa"/>
            <w:vAlign w:val="bottom"/>
          </w:tcPr>
          <w:p>
            <w:pPr>
              <w:spacing w:after="0"/>
              <w:rPr>
                <w:sz w:val="11"/>
                <w:szCs w:val="11"/>
                <w:color w:val="auto"/>
              </w:rPr>
            </w:pPr>
          </w:p>
        </w:tc>
        <w:tc>
          <w:tcPr>
            <w:tcW w:w="3740" w:type="dxa"/>
            <w:vAlign w:val="bottom"/>
            <w:gridSpan w:val="8"/>
          </w:tcPr>
          <w:p>
            <w:pPr>
              <w:ind w:left="740"/>
              <w:spacing w:after="0" w:line="131" w:lineRule="exact"/>
              <w:rPr>
                <w:sz w:val="20"/>
                <w:szCs w:val="20"/>
                <w:color w:val="auto"/>
              </w:rPr>
            </w:pPr>
            <w:r>
              <w:rPr>
                <w:rFonts w:ascii="Times New Roman" w:cs="Times New Roman" w:eastAsia="Times New Roman" w:hAnsi="Times New Roman"/>
                <w:sz w:val="14"/>
                <w:szCs w:val="14"/>
                <w:b w:val="1"/>
                <w:bCs w:val="1"/>
                <w:color w:val="auto"/>
              </w:rPr>
              <w:t>Attributable to Ascend Wellness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Holdings, Inc. Common Stockholders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Taxes withheld under equity-based</w:t>
            </w: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(3,481)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(3,483)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(3,483)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compensation plans, net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Recognition of non-controlling interests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211,495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468,093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8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Taxes withheld under equity-based</w:t>
            </w: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(1,387)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(1,786)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compensation plans, net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213,820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471,587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(355,309)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116,493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117,543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Taxes withheld under equity-based</w:t>
            </w:r>
          </w:p>
        </w:tc>
        <w:tc>
          <w:tcPr>
            <w:tcW w:w="10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 plans, net</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(28,256)</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gridSpan w:val="7"/>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380" w:type="dxa"/>
            <w:vAlign w:val="bottom"/>
            <w:gridSpan w:val="3"/>
          </w:tcPr>
          <w:p>
            <w:pPr>
              <w:jc w:val="right"/>
              <w:ind w:right="348"/>
              <w:spacing w:after="0" w:line="131" w:lineRule="exact"/>
              <w:rPr>
                <w:sz w:val="20"/>
                <w:szCs w:val="20"/>
                <w:color w:val="auto"/>
              </w:rPr>
            </w:pPr>
            <w:r>
              <w:rPr>
                <w:rFonts w:ascii="Times New Roman" w:cs="Times New Roman" w:eastAsia="Times New Roman" w:hAnsi="Times New Roman"/>
                <w:sz w:val="14"/>
                <w:szCs w:val="14"/>
                <w:b w:val="1"/>
                <w:bCs w:val="1"/>
                <w:color w:val="auto"/>
              </w:rPr>
              <w:t>Class A and Class B</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0"/>
                <w:szCs w:val="10"/>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188,064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430,375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 of equity-based payment rewards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Taxes withheld under equity-based compensation plans,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189,566</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434,392</w:t>
            </w:r>
          </w:p>
        </w:tc>
        <w:tc>
          <w:tcPr>
            <w:tcW w:w="100" w:type="dxa"/>
            <w:vAlign w:val="bottom"/>
          </w:tcPr>
          <w:p>
            <w:pPr>
              <w:spacing w:after="0"/>
              <w:rPr>
                <w:sz w:val="16"/>
                <w:szCs w:val="16"/>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(285,620)</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148,961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Shares issued in private placement, net of offering expenses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Shares issued in acquisitions or asset purchases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Taxes withheld under equity-based compensation plans,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204,890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450,529</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(284,779)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Vesting of equity-based payment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Taxes withheld under equity-based compensation plans,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205,935</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455,278</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(296,019)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3"/>
                <w:szCs w:val="13"/>
                <w:color w:val="auto"/>
              </w:rPr>
            </w:pPr>
          </w:p>
        </w:tc>
        <w:tc>
          <w:tcPr>
            <w:tcW w:w="156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(68,203)</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interest expense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13,976</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(10,875)</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of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17,837</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(11,278)</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25,258</w:t>
            </w: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38,126</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58,666</w:t>
            </w: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capital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notes receivable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(19,857)</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(15,943)</w:t>
            </w: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(51,736)</w:t>
            </w: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issuance of common stock in private placement</w:t>
            </w:r>
          </w:p>
        </w:tc>
        <w:tc>
          <w:tcPr>
            <w:tcW w:w="4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of debt</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(23,188)</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under finance leases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(15,351)</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(17,155)</w:t>
            </w: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w:t>
            </w:r>
          </w:p>
        </w:tc>
      </w:tr>
      <w:tr>
        <w:trPr>
          <w:trHeight w:val="217"/>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74,146</w:t>
            </w:r>
          </w:p>
        </w:tc>
      </w:tr>
      <w:tr>
        <w:trPr>
          <w:trHeight w:val="211"/>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65,279</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63,921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ectPr>
          <w:pgSz w:w="11900" w:h="16838" w:orient="portrait"/>
          <w:cols w:equalWidth="0" w:num="1">
            <w:col w:w="11240"/>
          </w:cols>
          <w:pgMar w:left="320" w:top="117"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80" w:type="dxa"/>
            <w:vAlign w:val="bottom"/>
          </w:tcPr>
          <w:p>
            <w:pPr>
              <w:spacing w:after="0"/>
              <w:rPr>
                <w:sz w:val="14"/>
                <w:szCs w:val="14"/>
                <w:color w:val="auto"/>
              </w:rPr>
            </w:pPr>
          </w:p>
        </w:tc>
        <w:tc>
          <w:tcPr>
            <w:tcW w:w="15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15,460</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20,579</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(refunds) payments,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costs incurred but not yet paid</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 recognized upon initial consolidation of variable interest entities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shares in business acquisitions</w:t>
            </w:r>
          </w:p>
        </w:tc>
        <w:tc>
          <w:tcPr>
            <w:tcW w:w="4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Morristown, New Jersey.</w:t>
      </w:r>
    </w:p>
    <w:p>
      <w:pPr>
        <w:spacing w:after="0" w:line="1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Shares of the Company’s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w:t>
      </w:r>
    </w:p>
    <w:p>
      <w:pPr>
        <w:spacing w:after="0" w:line="88" w:lineRule="exact"/>
        <w:rPr>
          <w:sz w:val="20"/>
          <w:szCs w:val="20"/>
          <w:color w:val="auto"/>
        </w:rPr>
      </w:pPr>
    </w:p>
    <w:p>
      <w:pPr>
        <w:ind w:right="4920" w:firstLine="8"/>
        <w:spacing w:after="0" w:line="44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2023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nine months ended September 30, 2024.</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September 30, 2024 and December 31, 2023, as well as a net loss for the nine months ended September 30, 2024 and 2023,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and December 31, 2023, we did not hold significant restricted cash or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we had no transfers of assets or liabilities between any of the hierarchy levels.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right-of-use (“ROU”) assets. We estimate the fair value of these assets using primarily unobservable Level 3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(Loss) per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September 30, 2024 and 2023, 15,273 and 26,840 shares of common stock equivalents, respectively, were excluded from the calculation of diluted EPS because their inclusion would have been anti-dilutive.</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issued by the Financial Accounting Standards Board (“FASB”). Pronouncements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Reference Rate Reform</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Accounting Standards Update (“ASU”) 2020-04, </w:t>
      </w:r>
      <w:r>
        <w:rPr>
          <w:rFonts w:ascii="Times New Roman" w:cs="Times New Roman" w:eastAsia="Times New Roman" w:hAnsi="Times New Roman"/>
          <w:sz w:val="18"/>
          <w:szCs w:val="18"/>
          <w:i w:val="1"/>
          <w:iCs w:val="1"/>
          <w:color w:val="auto"/>
        </w:rPr>
        <w:t>Reference Rate Reform (Topic 848): Facilitation of the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which provides optional expedients and exceptions for applying U.S. GAAP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relationships, and other 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to extend the 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and enhances the disclosures required for reportable segments in annual and interim consolidated financial statements, including reportable segment expenses, interim segment profit or loss, and how an entity’s chief operating decision maker uses reported segment profit or loss information in assessing segment performance and allocating resources. The guidance in this update is effective for the Company for the fiscal year ending December 31, 2024 and interim periods beginning with the fiscal period commencing January 1, 2025 and should be adopted retrospectively unless it is impractical to do so. Early adoption is permitted. We are currently evaluating the impact of this update on our disclosures in the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disaggregation in the rate reconciliation table and disaggregation information related to income taxes paid. The amendments in this update are effective for the Company for the fiscal year ending December 31, 2026 on a prospective or retrospective basis, with early adoption permitted. We are currently evaluating the impact of this update on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8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ind w:left="28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281,882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273,862</w:t>
            </w: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Wholesale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77,894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236,436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188,263</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169,934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518,318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462,125</w:t>
            </w: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Elimination of inter-company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(29,846)</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(92,725)</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(83,693)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141,647</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141,268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425,593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378,432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liability related to the loyalty program we offer dispensary customers at certain locations was $1,566 and $1,317 at September 30, 2024 and December 31, 2023, respectively, and is included within “Other current liabilities” on the unaudited Condensed Consolidated Balance Sheets. The Company recorded $2,047 and $1,939 in allowance for doubtful accounts as of September 30, 2024 and December 31, 2023, respectively. Write-offs were not significant during the three and nine months ended September 30, 2024 and 2023.</w:t>
      </w:r>
    </w:p>
    <w:p>
      <w:pPr>
        <w:spacing w:after="0" w:line="176" w:lineRule="exact"/>
        <w:rPr>
          <w:sz w:val="20"/>
          <w:szCs w:val="20"/>
          <w:color w:val="auto"/>
        </w:rPr>
      </w:pPr>
    </w:p>
    <w:p>
      <w:pPr>
        <w:ind w:right="9440" w:firstLine="8"/>
        <w:spacing w:after="0" w:line="439"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discussed below are considered business combinations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are included in these Financial Statements from the date of the acquisition.</w:t>
      </w: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 April 2024, a consolidated variable interest entity (“VIE”) of the Company acquired two dispensaries in the greater Chicago, Illinois area (the “Chicago Partner Dispensaries”). The parties entered into interim management services agreements (“MSAs”) pursuant to which the consolidated entity will advise on certain business, operational, and financial matters for a monthly fee while the parties finalize asset purchase agreements to acquire the underlying dispensaries (the “Illinois MSAs”). The total purchase price of approximately $10,000 of cash consideration is subject to certain closing adjustments. An initial deposit of $1,500 was remitted during the three months ended March 31, 2024. The remainder of $8,500 was remitted to escrow during the three months ended June 30, 2024 and remained in escrow as of September 30, 2024. The asset purchase agreements in respect of the Chicago Partner Dispensaries are subject to regulatory review and approval. Based on the provisions of the Illinois MSAs, the third party obtained operational and financial influence over the dispensaries and therefore recognized the transaction as a business combination as of the April 2024 regulatory approval date of the Illinois MSAs. Refer to Note 8, “Variable Interest Entities,” for additional information regarding the Company’s VIEs.</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which remains preliminary as management refines certain estimates during the measurement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line="231"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leasehold improvements of $1,398 and furniture, fixtures, and equipment of $127. During the three months ended September 30, 2024, certain estimates related to the fair value of the acquired leasehold improvements were refined, resulting in a measurement period purchase accounting adjustment that decreased the estimated fair value of the leasehold improvements by $1,307, with a related impact to goodwill.</w:t>
      </w:r>
    </w:p>
    <w:p>
      <w:pPr>
        <w:spacing w:after="0" w:line="101"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the three months ended September 30, 2024, certain estimates related to the fair value of the acquired licenses were refined, resulting in a measurement period purchase accounting adjustment that increased the value by $1,740, with a related impact to goodwill.</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IRC Section 280E; see Note 14, “Income Taxes,” for additional information.</w:t>
      </w:r>
    </w:p>
    <w:p>
      <w:pPr>
        <w:spacing w:after="0" w:line="1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entity has also agreed to assume the lease for the associated locations and recognized a total lease liability and ROU asset of $3,065 as of the effective date; refer to Note 10, “Leases,” for additional information regarding the Company’s leases. Direct transaction costs were not material.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consolidated results of operations for the three and nine months ended September 30, 2024 include $1,323 and $1,435, respectively, of net revenue and $160 and $493, respectively, of net loss related to the Chicago Partner Dispensaries. Pro forma financial information is not presented, as such results are immaterial to both the current and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which was subject to customary closing conditions and working capital adjustments, and 5,185 shares of Class A common stock with an estimated fair value of $4,770 at issuance. In April 2024 the Company finalized the working capital settlement and reduced consideration and goodwill by $200. Our results of operations for the three and nine months ended September 30, 2024 include $9,719 and $28,860 of net revenue, respectively, and $1,080 and $3,006 of net income, respectively, related to Devi Maryland. Our results of operations for the three and nine months ended September 30, 2023 include $9,541 and $11,270, respectively, of net revenue and $688 and $15, respectively, of net loss related to Devi Maryland. Pro forma financial information is not presented, as such results are immaterial to both the current and prior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Purchase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license and a manufacturer license from a third party in Massachusetts for a cash purchase price of $2,750, which total may be adjusted at closing, as provided in the Massachusetts Purchase Agreement and of which $1,500 was paid at signing and $1,250 was paid on October 1, 2024. The transfer of each license is subject to regulatory review and approval, which the Company expects may occur within twelve months following the signing date. The licenses were not associated with active operations at signing, but operations have since commenced. In conjunction with the Massachusetts Purchase Agreement, the parties also entered into a bridge loan which provides for the financing of certain covered expenses, at the sole discretion of the Company. This bridge loan bears interest based on the federal funds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Company has also agreed to assume the lease for the associated location and to reimburse the seller for the security deposit at final closing. The Company recognized a lease liability and ROU asset of $761 as of the signing date; refer to Note 10, “Leases,” for additional information regarding the Company’s leases. Direct transaction costs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Detroit License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the Company acquired 49% of the member interests of an entity (the “Detroit License Holder”) that received conditional approval for an adult-use license in Detroit, Michigan (the “Detroit License”). The Detroit License was not associated with active operations as of the closing date and the Detroit License Holder had no other active operations as of that date. The Company anticipates transferring the Detroit License to its existing dispensary in Detroit, Michigan, subject to regulatory approvals. The Company paid $850 of cash consideration at closing and the sellers may receive up to an additional $2,250 based upon the achievement of certain levels of sales during a specified twelve month period following the commencement of adult-use sales at the dispensary. The underlying agreement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determined that the Detroit License Holder is a VIE and the Company became the primary beneficiary as of the closing date; therefore, the Detroit License Holder is consolidated as a VIE. Management applied the acquisition method discussed above and allocated the total estimated fair value of the transaction consideration of $1,140 as the estimated fair value of the license. This total consisted of the fair value of the cash consideration of $850 plus the initial estimated fair value of the contingent consideration of $290, which was determined utilizing an income approach based on a probability-weighted estimate of the future payment discounted using the Company’s estimated incremental borrowing rate, is classified within Level 3 of the fair value hierarchy, and is included within “Other non-current liabilities” on the unaudited Condensed Consolidated Balance Sheet as of September 30, 2024.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Patient Access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is subject to regulatory review and approval. Once regulatory approval is received, the Company may exercise the option, and the exercise is solely within the Company’s control. As initially provided by the Ohio Agreement, the Company had the right to exercise the option until the fifth anniversary of the agreement date, but was subsequently amended in June 2024 so that such option will expire on March 22, 2026. The Company anticipates exercising the option prior to the amended expiration date.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the Ohio Agreement, the parties also entered into a support services agreement under which the Company is providing management and advisory services to OPA for a set monthly fee. The parties also entered into a working capital loan agreement under which the Company may, at its full discretion, loan OPA up to $10,000 for general working capital needs. Under the Ohio Agreement, the Company will also acquire the real property of the three dispensary locations. OPA had not yet commenced operations as of the signing date, but subsequently opened two dispensaries in December 2023 and a third in January 2024. The Company determined OPA is a VIE and the Company became the primary beneficiary as of the signing date; therefore, OPA is consolidated as a VIE. To account for the initial consolidation of OPA, management applied the acquisition method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per the Ohio Agreement consisted of total cash consideration of $22,300. The Ohio Agreement also includes an earn-out provision of $7,300 that is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 The parties amended the Ohio Agreement in June 2024 to incorporate certain provisions regarding evolving regulations in Ohio, including that the Company will, upon final closing of the Ohio Agreement, receive two additional adult-use licenses that are expected to be awarded to OPA.</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total estimated fair value of the transaction consideration was determined to be $24,132 and consisted of the fair value of the cash consideration of $19,290 plus the initial estimated fair value of the contingent consideration of $4,842. Of the total cash consideration, $11,300 was funded at signing pursuant to note agreements and $11,000 is due at final closing (the “OPA Sellers’ Note”); refer to Note 11, “Debt,” for additional information. The license intangible asset acquired was determined to have an estimated fair value of $21,684 and the three properties had an estimated fair value of $2,448, which was determined using a market approach based on the total transaction consideration. The license is being amortized in accordance with the Company’s policy following the commencement of operations. During the third quarter of 2023, the Company recorded an acquisition-related deferred tax liability of $9,516, which was allocated to the estimated fair value of the license.</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As of December 31, 2023, the estimated fair value of this contingent consideration was $6,670 and is included within “Other non-current liabilities on the unaudited Condensed Consolidated Balance Sheet at that date. The $630 change in fair value through the payment date was recognized during the nine months ended September 30, 2024 and is included within “General and administrative expenses” on the unaudited Condensed Consolidated Statement of Operations.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Licenses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Neither of these licenses were associated with active operations at signing. These acquired licenses are being amortized in accordance with the Company’s policy as of the commencement of operations for each respective location, described below.</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transaction was entered on August 11, 2022 for total cash consideration of $5,500. The Company accounted for this transaction as an asset acquisition and allocated the cash consideration plus an acquisition-related deferred tax liability of $2,414 as the total cost of the license. Of the total cash consideration, $3,000 was paid at signing and $2,500 was due at final closing, which occurred in April 2024. The closing payment is included as a sellers’ note within “Current portion of debt, net” on the unaudited Condensed Consolidated Balance Sheet at December 31, 2023; refer to Note 11, “Debt,” for additional information. Operations at the associated location commenced during the second quarter of 2023.</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second transaction was entered on August 12, 2022 for total cash consideration of $5,600. The Company accounted for this transaction as an asset acquisition and allocated the cash consideration plus an acquisition-related deferred tax liability of $2,458 as the total cost of the license. The cash consideration was paid at final closing in July 2024 and was included as a sellers’ note within “Current portion of debt, net” on the unaudited Condensed Consolidated Balance Sheets at December 31, 2023; refer to Note 11, “Debt,” for additional information. Operations at the associated location commenced in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components of inventory are as follows:</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compensation expense capitalized to inventory was $19,566 and $18,552 during the three months ended September 30, 2024 and 2023, respectively, and $58,539 and $52,847 during the nine months ended September 30, 2024 and 2023, respectively. At September 30, 2024 and December 31, 2023, $16,030 and $13,730, respectively, of compensation expense remained capitalized as part of inventory. The Company recognized, as a component of cost of goods sold, total write-downs related to net realizable value adjustments, expired products, and obsolete packaging totaling $1,749 and $2,223 during the three and nine months ended September 30, 2024, respectively, and $2,938 and $13,052 during the three and nine months ended September 30, 2023, respectively. These amounts are included within “Other” on the unaudited Condensed 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NOTES RECEIVABLE</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Massachusetts Note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MMNY - working capital loan</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Maryland Loan Receivable</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49"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May 2022 the Company issued a secured promissory note to a retail dispensary license holder in Massachusetts providing up to $3,500 of funding, which note was amended in December 2023 (the “Massachusetts Note”). As amended, the Massachusetts Note bears interest at a rate of 12.5% per annum, which is to be paid monthly beginning in January 2024, and principal is to be repaid monthly commencing in December 2024 based on a period of twenty-four months, with the remainder due at the December 1, 2025 revised maturity date. In April 2024, the Massachusetts Note was further amended to increase the principal to $4,100 and the additional payment was funded at that time. A total of $4,100 is outstanding under the Massachusetts Note as of September 30, 2024, of which $1,764 is included in “Notes receivable” and $2,336 is included in “Other noncurrent assets,” respectively, on the unaudited Condensed Consolidated Balance Sheet as of that date. A total of $3,500 was outstanding as of December 31, 2023, of which $147 was included in “Notes receivable” and $3,353 was included in “Other noncurrent assets.”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spacing w:after="0" w:line="83"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During the nine months ended September 30, 2024, the Company increased its estimated reserve on the amounts outstanding from MMNY to include the remaining balances, including this working capital loan. The Company is pursuing collection of these amounts through its legal proceedings against MMNY, refer to Note 15, “Commitments and Contingencies,” for additional information.</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original maturity date of August 1, 2026, required monthly repayments equal to 10.0% of the outstanding balance (including paid-in-kind interest), and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prepaid subject to a customary make-whole payment or prepayment penalty, as applicable. Mandatory prepayments were required from the proceeds of certain events. The Maryland Loan Agreement provided for a base interest rate of 12.0% plus LIBOR (LIBOR floor of 1.0%) and a paid-in-kind interest rate of 4.5%. Following the replacement of LIBOR, effective July 1, 2023, the LIBOR component of the interest rate transitioned to the secured overnight financing rate (“SOFR”) plus an alternative reference rate committee (“ARRC”) standard adjustment.</w:t>
      </w:r>
    </w:p>
    <w:p>
      <w:pPr>
        <w:spacing w:after="0" w:line="85"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including non-payment, and provided an acceleration notice during the second quarter of 2023 that declared all amounts due and payable. As such, during 2023 the Company established a reserve of $1,804 for potential collectability.</w:t>
      </w:r>
    </w:p>
    <w:p>
      <w:pPr>
        <w:spacing w:after="0" w:line="71"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6"/>
          <w:szCs w:val="16"/>
          <w:color w:val="auto"/>
        </w:rPr>
        <w:t>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The Company recorded this receivable net of an initial discount of $984 that is included within “General and administrative expenses” on the unaudited Condensed Consolidated Statements of Operations for the nine months ended September 30, 2024 and within “Other” on the unaudited Condensed Consolidated Statements of Cash Flows. This discount was calculated utilizing the Company’s estimated incremental borrowing rate as of the agreement date and will be accreted to interest income over the agreement term. The total settlement value, excluding the discount, approximated the obligations outstanding under the Maryland Loan Receivable, including $2,859 of past due interest that was outstanding as of December 31, 2023 and was included within “Other current assets” on the unaudited Condensed Consolidated Balance Sheet as of that date.</w:t>
      </w:r>
    </w:p>
    <w:p>
      <w:pPr>
        <w:spacing w:after="0" w:line="144"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A total of $500 of inventory was supplied under this agreement during the nine months ended September 30, 2024. During the three months ended September 30, 2024, the Company established a reserve of $2,083 on the remaining receivable due to collection risk. This reserve was recognized within “General and administrative expenses” on the unaudited Condensed Consolidated Statements of Operations for the three and nine months ended September 30, 2024 and within “Other” on the unaudited Condensed Consolidated Statements of Cash Flows. As of September 30, 2024, $1,000 of the remaining receivable is included within “Other current assets” and $1,543 is included within “Other noncurrent assets” on the unaudited Condensed Consolidated Balance Sheet, which amounts are net of $1,000 and $1,083 respectively, associated with this reserve.</w:t>
      </w:r>
    </w:p>
    <w:p>
      <w:pPr>
        <w:spacing w:after="0" w:line="1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 total of $3,891 was outstanding at September 30, 2024 related to a promissory note issued to the owner of a property that the Company is leasing, of which $175 and $3,716 is included in “Other current assets” and “Other noncurrent assets,” respectively, on the unaudited Condensed Consolidated Balance Sheets. At December 31, 2023, $4,018 was outstanding, of which $170 and $3,848 is included in “Other current assets” and “Other noncurrent assets,” respectively, on the unaudited Condensed Consolidated Balance Sheets.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on notes receivable were recognized during the nine months ended September 30, 2024 or 2023, other than as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192,807</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348,238</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80,156</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268,082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depreciation expense was $9,057 and $8,531 during the three months ended September 30, 2024 and 2023, respectively, and $27,341 and $24,958 during the nine months ended September 30, 2024 and 2023, respectively. Total depreciation expense capitalized to inventory was $6,380 and $6,227 during the three months ended September 30, 2024 and 2023, respectively, and $19,431 and $18,628 during the nine months ended September 30, 2024 and 2023, respectively. At September 30, 2024 and December 31, 2023, $4,211 and $5,510, respectively, of depreciation expense remained capitalized as part of inventory.</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above includes equipment with a gross value of $2,321 as of each of September 30, 2024 and December 31, 2023 and accumulated amortization of $966 and $549, respectively, that the Company is renting under finance leases pursuant to a master lease agreement that was entered into in June 2022 and, as amended, allows for an aggregate of up to $3,000 of such leases to be entered during the current annual renewal period. Refer to Note 10, “Leases,” for additional information regarding our lease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2024 Loan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to a third party (the “January 2024 Loan Agreement”). The January 2024 Loan Agreement contains certain provisions and restrictive covenants that provide the Company with operational and financial influence over the underlying entity and also provides the Company with financial distributions based on the underlying associated results of operations. Additionally,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The Company determined that the terms and provisions of the January 2024 Loan Agreement create a variable interest in the third-party entity and met the criteria for consolidation as of such date. The third-party entity received a conditional license approval for one dispensary in New Jersey that was determined to have a fair value of $1,050, which approximated the fair value of the non-controlling interest held by the third-party member as of the effective date. The non-controlling interest received a distribution during the three months ended September 30, 2024 in accordance with the provisions of the January 2024 Loan Agreement. The net loss attributable to the non-controlling interest was not significant during the three and nine months ended September 30, 2024.</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and provides for a default penalty of an additional 6.0% interest. Borrowings are due on the sixth anniversary of the January 2024 Loan Agreement, which may be extended by two additional two-year periods, and prepayment is permitted with prior written notice. Since the entity is consolidated as a VIE, the intercompany activity related to the January 2024 Loan Agreement is eliminated in consolidation.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Loan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2024, the Company entered into a loan agreement pursuant to which the Company may provide financing to a third party, at its sole discretion (the “February 2024 Loan Agreement”). The February 2024 Loan Agreement initially provided for up to $3,750 of financing, but was amended in July 2024 to increase the funding amount based on the Company’s sole discretion at such a time that the borrower requests additional funding. The parties also entered into a support services agreement under which the Company will provide management and advisory services for a set monthly fee. The terms of the February 2024 Loan Agreement contain certain provisions and restrictive covenants that provide the Company with operational and financial influence over the underlying entity. The February 2024 Loan Agreement provides the Company with the option to convert the outstanding balance into equity interests of the borrower, up to 100%, as may be permissible by applicable regulations at such time. The Company determined that the terms and provisions of the February 2024 Loan Agreement and support services agreement create a variable interest in the third-party entity and met the criteria for consolidation as of such date. The entity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The net loss attributable to the non-controlling interest was not significant during the three and nine months ended September 30, 2024.</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February 2024 Loan Agreement bear interest at a rate of 20.0% per annum and are secured by substantially all of the assets of the borrower. The February 2024 Loan Agreement provides for customary events of default, contains certain covenants and other restrictions, and provides for a default penalty of an additional 5.0% interest. The February 2024 Loan Agreement matures ten years from issuance, but may be extended if not otherwise converted prior to maturity, with borrowings and interest not due until such time. Since the entity is consolidated as a VIE, the intercompany activity related to the February 2024 Loan Agreement and the related support services agreement is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consolidated VIEs which are included in the unaudited Condensed Consolidated Balance Sheets as of September 30, 2024 and December 31, 2023 and in the unaudited Condensed Consolidated Statements of Operations for the three and nine months ended September 30, 2024 and 2023, as applicable. The underlying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and includes the related acquisition details disclosed in Note 4,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80" w:type="dxa"/>
            <w:vAlign w:val="bottom"/>
            <w:gridSpan w:val="6"/>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71"/>
        </w:trPr>
        <w:tc>
          <w:tcPr>
            <w:tcW w:w="20" w:type="dxa"/>
            <w:vAlign w:val="bottom"/>
          </w:tcPr>
          <w:p>
            <w:pPr>
              <w:spacing w:after="0"/>
              <w:rPr>
                <w:sz w:val="14"/>
                <w:szCs w:val="14"/>
                <w:color w:val="auto"/>
              </w:rPr>
            </w:pPr>
          </w:p>
        </w:tc>
        <w:tc>
          <w:tcPr>
            <w:tcW w:w="3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4"/>
                <w:szCs w:val="14"/>
                <w:color w:val="auto"/>
              </w:rPr>
            </w:pPr>
          </w:p>
        </w:tc>
        <w:tc>
          <w:tcPr>
            <w:tcW w:w="138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32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508"/>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9. INTANGIBLE ASSETS AND GOODWILL</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250,867</w:t>
            </w:r>
          </w:p>
        </w:tc>
      </w:tr>
      <w:tr>
        <w:trPr>
          <w:trHeight w:val="230"/>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r>
      <w:tr>
        <w:trPr>
          <w:trHeight w:val="230"/>
        </w:trPr>
        <w:tc>
          <w:tcPr>
            <w:tcW w:w="2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5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271,210</w:t>
            </w:r>
          </w:p>
        </w:tc>
      </w:tr>
      <w:tr>
        <w:trPr>
          <w:trHeight w:val="210"/>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r>
      <w:tr>
        <w:trPr>
          <w:trHeight w:val="230"/>
        </w:trPr>
        <w:tc>
          <w:tcPr>
            <w:tcW w:w="20" w:type="dxa"/>
            <w:vAlign w:val="bottom"/>
          </w:tcPr>
          <w:p>
            <w:pPr>
              <w:spacing w:after="0"/>
              <w:rPr>
                <w:sz w:val="19"/>
                <w:szCs w:val="19"/>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w:t>
            </w:r>
          </w:p>
        </w:tc>
      </w:tr>
      <w:tr>
        <w:trPr>
          <w:trHeight w:val="230"/>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(49,758)</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221,452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Amortization expense related to intangible assets was $6,842 and $5,876 during the three </w:t>
      </w:r>
      <w:r>
        <w:rPr>
          <w:rFonts w:ascii="Times New Roman" w:cs="Times New Roman" w:eastAsia="Times New Roman" w:hAnsi="Times New Roman"/>
          <w:sz w:val="18"/>
          <w:szCs w:val="18"/>
          <w:color w:val="070707"/>
        </w:rPr>
        <w:t>months ended September 30, 2024 and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707"/>
        </w:rPr>
        <w:t xml:space="preserve">respectively, and </w:t>
      </w:r>
      <w:r>
        <w:rPr>
          <w:rFonts w:ascii="Times New Roman" w:cs="Times New Roman" w:eastAsia="Times New Roman" w:hAnsi="Times New Roman"/>
          <w:sz w:val="18"/>
          <w:szCs w:val="18"/>
          <w:color w:val="000000"/>
        </w:rPr>
        <w:t>$20,411 and $17,703</w:t>
      </w:r>
      <w:r>
        <w:rPr>
          <w:rFonts w:ascii="Times New Roman" w:cs="Times New Roman" w:eastAsia="Times New Roman" w:hAnsi="Times New Roman"/>
          <w:sz w:val="18"/>
          <w:szCs w:val="18"/>
          <w:color w:val="070707"/>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070707"/>
        </w:rPr>
        <w:t xml:space="preserve"> months ended September 30, 2024 and 2023, respectively. Total amortization expense capitalized to inventory was $755 and $685 </w:t>
      </w:r>
      <w:r>
        <w:rPr>
          <w:rFonts w:ascii="Times New Roman" w:cs="Times New Roman" w:eastAsia="Times New Roman" w:hAnsi="Times New Roman"/>
          <w:sz w:val="18"/>
          <w:szCs w:val="18"/>
          <w:color w:val="000000"/>
        </w:rPr>
        <w:t>during the three</w:t>
      </w:r>
      <w:r>
        <w:rPr>
          <w:rFonts w:ascii="Times New Roman" w:cs="Times New Roman" w:eastAsia="Times New Roman" w:hAnsi="Times New Roman"/>
          <w:sz w:val="18"/>
          <w:szCs w:val="18"/>
          <w:color w:val="070707"/>
        </w:rPr>
        <w:t xml:space="preserve"> months ended September 30, 2024 and 2023, respectively, and </w:t>
      </w:r>
      <w:r>
        <w:rPr>
          <w:rFonts w:ascii="Times New Roman" w:cs="Times New Roman" w:eastAsia="Times New Roman" w:hAnsi="Times New Roman"/>
          <w:sz w:val="18"/>
          <w:szCs w:val="18"/>
          <w:color w:val="000000"/>
        </w:rPr>
        <w:t>$2,263 and $2,106</w:t>
      </w:r>
      <w:r>
        <w:rPr>
          <w:rFonts w:ascii="Times New Roman" w:cs="Times New Roman" w:eastAsia="Times New Roman" w:hAnsi="Times New Roman"/>
          <w:sz w:val="18"/>
          <w:szCs w:val="18"/>
          <w:color w:val="070707"/>
        </w:rPr>
        <w:t xml:space="preserve">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070707"/>
        </w:rPr>
        <w:t xml:space="preserve"> months ended September 30, 2024 and 2023, respectively. </w:t>
      </w:r>
      <w:r>
        <w:rPr>
          <w:rFonts w:ascii="Times New Roman" w:cs="Times New Roman" w:eastAsia="Times New Roman" w:hAnsi="Times New Roman"/>
          <w:sz w:val="18"/>
          <w:szCs w:val="18"/>
          <w:color w:val="000000"/>
        </w:rPr>
        <w:t>At September 30, 2024 and December 31, 2023, $1,278 and $916, respectively, of amortization expense</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remained capitalized as part of inventory.</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70707"/>
        </w:rPr>
        <w:t xml:space="preserve">No impairment indicators were noted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070707"/>
        </w:rPr>
        <w:t xml:space="preserve"> months ended September 30, 2024 or 2023 and, as such, w</w:t>
      </w:r>
      <w:r>
        <w:rPr>
          <w:rFonts w:ascii="Times New Roman" w:cs="Times New Roman" w:eastAsia="Times New Roman" w:hAnsi="Times New Roman"/>
          <w:sz w:val="18"/>
          <w:szCs w:val="18"/>
          <w:color w:val="000000"/>
        </w:rPr>
        <w:t>e did not record any impairment</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charges during either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Adjustments to purchase price allocation</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4, “Acquisitions,”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land, buildings, equipment, and other capital assets which it uses for corporate purposes and the production and sale of cannabis products with terms generally ranging from 1 to 20 years.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assets and lease liabilities and their classification on the unaudited Condensed Consolidated Balance Sheets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130,556</w:t>
            </w: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3"/>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261,087</w:t>
            </w:r>
          </w:p>
        </w:tc>
      </w:tr>
      <w:tr>
        <w:trPr>
          <w:trHeight w:val="230"/>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components of lease costs and classification within the unaudited Condensed Consolidated Statements of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30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8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8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25,960</w:t>
            </w:r>
          </w:p>
        </w:tc>
      </w:tr>
      <w:tr>
        <w:trPr>
          <w:trHeight w:val="270"/>
        </w:trPr>
        <w:tc>
          <w:tcPr>
            <w:tcW w:w="20" w:type="dxa"/>
            <w:vAlign w:val="bottom"/>
            <w:shd w:val="clear" w:color="auto" w:fill="CCEEFF"/>
          </w:tcPr>
          <w:p>
            <w:pPr>
              <w:spacing w:after="0"/>
              <w:rPr>
                <w:sz w:val="23"/>
                <w:szCs w:val="23"/>
                <w:color w:val="auto"/>
              </w:rPr>
            </w:pP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3"/>
        </w:trPr>
        <w:tc>
          <w:tcPr>
            <w:tcW w:w="2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30,576</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leased assets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as a component of depreciation expense within “General and administrative expenses” on the accompanying unaudited Condensed Consolidated Statements of Operations.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2024 and December 31, 2023, $7,312 and $6,028, respectively, of lease costs remained capitalized in inventory.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on short-term and variable lease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variable lease costs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income generated during the three and nine months ended September 30, 2024 and 2023 was immaterial.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our leases: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27,581</w:t>
            </w: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0" w:type="dxa"/>
            <w:vAlign w:val="bottom"/>
          </w:tcPr>
          <w:p>
            <w:pPr>
              <w:spacing w:after="0"/>
              <w:rPr>
                <w:sz w:val="19"/>
                <w:szCs w:val="19"/>
                <w:color w:val="auto"/>
              </w:rPr>
            </w:pP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34,583</w:t>
            </w: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3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term (years)</w:t>
            </w:r>
          </w:p>
        </w:tc>
        <w:tc>
          <w:tcPr>
            <w:tcW w:w="2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4"/>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r>
    </w:tbl>
    <w:p>
      <w:pPr>
        <w:spacing w:after="0" w:line="2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terms and the reconciliation to the present value of the lease liabilities as recorded on our unaudited Condensed Consolidated Balance Sheet as of September 30,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Finance Lease 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cash payments due under transactions that did not qualify for sale 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Remainder of</w:t>
            </w:r>
          </w:p>
        </w:tc>
        <w:tc>
          <w:tcPr>
            <w:tcW w:w="280" w:type="dxa"/>
            <w:vAlign w:val="bottom"/>
          </w:tcPr>
          <w:p>
            <w:pPr>
              <w:spacing w:after="0"/>
              <w:rPr>
                <w:sz w:val="18"/>
                <w:szCs w:val="18"/>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Pr>
          <w:p>
            <w:pPr>
              <w:spacing w:after="0"/>
              <w:rPr>
                <w:sz w:val="18"/>
                <w:szCs w:val="18"/>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160" w:type="dxa"/>
            <w:vAlign w:val="bottom"/>
          </w:tcPr>
          <w:p>
            <w:pPr>
              <w:jc w:val="right"/>
              <w:ind w:right="370"/>
              <w:spacing w:after="0" w:line="164"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Cash payments due under</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8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2024 Term Notes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Credit Facility</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liabilities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Agreement</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70"/>
        </w:trPr>
        <w:tc>
          <w:tcPr>
            <w:tcW w:w="20" w:type="dxa"/>
            <w:vAlign w:val="bottom"/>
            <w:tcBorders>
              <w:bottom w:val="single" w:sz="8" w:color="CCEEFF"/>
            </w:tcBorders>
          </w:tcPr>
          <w:p>
            <w:pPr>
              <w:spacing w:after="0"/>
              <w:rPr>
                <w:sz w:val="23"/>
                <w:szCs w:val="23"/>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(6)</w:t>
            </w:r>
          </w:p>
        </w:tc>
        <w:tc>
          <w:tcPr>
            <w:tcW w:w="2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70"/>
        </w:trPr>
        <w:tc>
          <w:tcPr>
            <w:tcW w:w="20" w:type="dxa"/>
            <w:vAlign w:val="bottom"/>
            <w:tcBorders>
              <w:bottom w:val="single" w:sz="8" w:color="CCEEFF"/>
            </w:tcBorders>
          </w:tcPr>
          <w:p>
            <w:pPr>
              <w:spacing w:after="0"/>
              <w:rPr>
                <w:sz w:val="23"/>
                <w:szCs w:val="23"/>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 of debt,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304,001</w:t>
            </w:r>
          </w:p>
        </w:tc>
      </w:tr>
      <w:tr>
        <w:trPr>
          <w:trHeight w:val="270"/>
        </w:trPr>
        <w:tc>
          <w:tcPr>
            <w:tcW w:w="20" w:type="dxa"/>
            <w:vAlign w:val="bottom"/>
            <w:tcBorders>
              <w:bottom w:val="single" w:sz="8" w:color="CCEEFF"/>
            </w:tcBorders>
          </w:tcPr>
          <w:p>
            <w:pPr>
              <w:spacing w:after="0"/>
              <w:rPr>
                <w:sz w:val="23"/>
                <w:szCs w:val="23"/>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line="247"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16, 2024, the Company issued $235,000 in aggregate principal of senior secured notes due July 16, 2029 (the “2024 Term Notes”) through a private placement (the “2024 Notes Offering”) pursuant to an indenture agreement (the “July 2024 Loan Agreement”). The 2024 Term Notes were issued at 94.75% of face value and do not require scheduled principal amortization payments. The 2024 Term Notes bear interest at a rate of 12.75% per annum, payable semi-annually in arrears on January 15 and July 15 of each year until the maturity date, commencing on January 15, 2025, unless earlier prepaid in accordance with the terms of the July 2024 Loan Agreement.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2024 Term Notes were funded by a combination of new and existing lenders. Borrowings from these existing lenders were accounted for as a modification of existing debt. The Company incurred approximately $3,600 of other expenses associated with this transaction that are included within “General and administrative expenses” on the unaudited Condensed Consolidated Statements of Operations for the three and nine months ended September 30, 2024.</w:t>
      </w:r>
    </w:p>
    <w:p>
      <w:pPr>
        <w:spacing w:after="0" w:line="99" w:lineRule="exact"/>
        <w:rPr>
          <w:rFonts w:ascii="Times New Roman" w:cs="Times New Roman" w:eastAsia="Times New Roman" w:hAnsi="Times New Roman"/>
          <w:sz w:val="21"/>
          <w:szCs w:val="21"/>
          <w:color w:val="auto"/>
          <w:vertAlign w:val="superscript"/>
        </w:rPr>
      </w:pPr>
    </w:p>
    <w:p>
      <w:pPr>
        <w:jc w:val="both"/>
        <w:ind w:left="340"/>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spacing w:after="0" w:line="87" w:lineRule="exact"/>
        <w:rPr>
          <w:rFonts w:ascii="Times New Roman" w:cs="Times New Roman" w:eastAsia="Times New Roman" w:hAnsi="Times New Roman"/>
          <w:sz w:val="21"/>
          <w:szCs w:val="21"/>
          <w:color w:val="auto"/>
          <w:vertAlign w:val="superscript"/>
        </w:rPr>
      </w:pPr>
    </w:p>
    <w:p>
      <w:pPr>
        <w:jc w:val="both"/>
        <w:ind w:left="340"/>
        <w:spacing w:after="0" w:line="256"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91" w:lineRule="exact"/>
        <w:rPr>
          <w:rFonts w:ascii="Times New Roman" w:cs="Times New Roman" w:eastAsia="Times New Roman" w:hAnsi="Times New Roman"/>
          <w:sz w:val="21"/>
          <w:szCs w:val="21"/>
          <w:color w:val="auto"/>
          <w:vertAlign w:val="superscript"/>
        </w:rPr>
      </w:pPr>
    </w:p>
    <w:p>
      <w:pPr>
        <w:jc w:val="both"/>
        <w:ind w:left="340"/>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The July 2024 Loan Agreement also requires the Company, on a consolidated basis, to maintain liquidity, consisting of cash and/or cash equivalents plus any future revolving credit availability, at all times in an aggregate amount of at least $20,000, with which the Company was in compliance as of September 30, 2024. The Company is required to comply with certain other financial covenants in contemplation of certain transactions or events, such as acquisitions and other financing activities, as defined within and provided for under the July 2024 Loan Agreement.</w:t>
      </w:r>
    </w:p>
    <w:p>
      <w:pPr>
        <w:spacing w:after="0" w:line="73" w:lineRule="exact"/>
        <w:rPr>
          <w:sz w:val="20"/>
          <w:szCs w:val="20"/>
          <w:color w:val="auto"/>
        </w:rPr>
      </w:pPr>
    </w:p>
    <w:p>
      <w:pPr>
        <w:jc w:val="both"/>
        <w:ind w:left="340" w:hanging="332"/>
        <w:spacing w:after="0" w:line="244"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this expansion feature (the “2022 Loans”).</w:t>
      </w:r>
    </w:p>
    <w:p>
      <w:pPr>
        <w:spacing w:after="0" w:line="84"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spacing w:after="0" w:line="62"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incurred initial financing costs of $8,806 and additional financing costs of $7,606 related to the 2022 Loans, which includes warrants issued to certain lenders to acquire 3,130 shares of Class A common stock that had a fair value of $2,639 at issuance. The financing costs are being amortized to interest expense over the term of 2021 Credit Facility using the straight-line method which approximates the interest rate method.</w:t>
      </w:r>
    </w:p>
    <w:p>
      <w:pPr>
        <w:spacing w:after="0" w:line="62"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spacing w:after="0" w:line="62"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w:t>
      </w:r>
    </w:p>
    <w:p>
      <w:pPr>
        <w:spacing w:after="0" w:line="76" w:lineRule="exact"/>
        <w:rPr>
          <w:rFonts w:ascii="Times New Roman" w:cs="Times New Roman" w:eastAsia="Times New Roman" w:hAnsi="Times New Roman"/>
          <w:sz w:val="21"/>
          <w:szCs w:val="21"/>
          <w:color w:val="auto"/>
          <w:vertAlign w:val="superscript"/>
        </w:rPr>
      </w:pPr>
    </w:p>
    <w:p>
      <w:pPr>
        <w:jc w:val="both"/>
        <w:ind w:left="340"/>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2024, the 2021 Credit Agreement was amended to, among other things, permit the Company to issue new senior secured notes. In July 2024, the Company prepaid $215,000 of borrowings outstanding under the 2021 Credit Facility, primarily utilizing the proceeds from the issuance of the 2024 Term Notes, as discussed above. The remaining $60,000 of borrowings outstanding under the 2021 Credit Facility will remain outstanding based on the original terms of the 2021 Credit Agreement. The Company recognized, as a component of interest expense, a loss on extinguishment of $5,475, which includes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will remain capitalized and will be deferred over the term of the 2024 Term Notes in accordance with modification treatment. The total prepayment fee of $5,106 is included within “Debt issuance costs” on the unaudited Condensed Consolidated Statement of Cash Flows for the nine months ended September 30, 2024. A total of $943 of unamortized deferred financing costs were associated with the portion of the 2021 Credit Facility that was not prepaid and will be amortized through the remaining term of those loans.</w:t>
      </w:r>
    </w:p>
    <w:p>
      <w:pPr>
        <w:spacing w:after="0" w:line="89" w:lineRule="exact"/>
        <w:rPr>
          <w:rFonts w:ascii="Times New Roman" w:cs="Times New Roman" w:eastAsia="Times New Roman" w:hAnsi="Times New Roman"/>
          <w:sz w:val="21"/>
          <w:szCs w:val="21"/>
          <w:color w:val="auto"/>
          <w:vertAlign w:val="superscript"/>
        </w:rPr>
      </w:pPr>
    </w:p>
    <w:p>
      <w:pPr>
        <w:jc w:val="both"/>
        <w:ind w:left="340"/>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was in compliance with these covenants as of September 30, 2024.</w:t>
      </w:r>
    </w:p>
    <w:p>
      <w:pPr>
        <w:spacing w:after="0" w:line="87"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3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liabilities related to failed sale leaseback transactions. See Note 10,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hanging="332"/>
        <w:spacing w:after="0" w:line="245"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Sellers’ notes consist of amounts owed for acquisitions or other purchases. As of September 30, 2024 and December 31, 2023, sellers’ notes includes the OPA Sellers’ Note which had balance of $10,686 included in “Current portion of debt, net” at September 30, 2024 and $9,705 that was included within “Long-term debt, net” at December 31, 2023. The $11,000 OPA Sellers’ Note was recorded net of a discount of $3,010 that was calculated utilizing the Company’s estimated incremental borrowing rate based on the anticipated close date that is being accreted to interest expense over the expected term. Additionally, sellers’ notes includes $1,310 related to the Massachusetts Purchase Agreement entered into during 2024, which is included within “Current portion of debt, net” at September 30, 2024, and of which $1,250 was paid on October 1, 2024. Refer to Note 4, “Acquisitions,” for additional information regarding these transactions.</w:t>
      </w:r>
    </w:p>
    <w:p>
      <w:pPr>
        <w:spacing w:after="0" w:line="83" w:lineRule="exact"/>
        <w:rPr>
          <w:rFonts w:ascii="Times New Roman" w:cs="Times New Roman" w:eastAsia="Times New Roman" w:hAnsi="Times New Roman"/>
          <w:sz w:val="21"/>
          <w:szCs w:val="21"/>
          <w:color w:val="auto"/>
          <w:vertAlign w:val="superscript"/>
        </w:rPr>
      </w:pPr>
    </w:p>
    <w:p>
      <w:pPr>
        <w:ind w:left="340"/>
        <w:spacing w:after="0" w:line="29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Sellers’ notes outstanding as of December 31, 2023 includes a total of $8,100 related to the acquisition of two licenses in Illinois, which total was included in “Current portion of debt, net” at December 31, 2023, and of which $2,500 was paid in April 2024 and $5,600 was paid in July 2024.</w:t>
      </w:r>
    </w:p>
    <w:p>
      <w:pPr>
        <w:spacing w:after="0" w:line="42" w:lineRule="exact"/>
        <w:rPr>
          <w:rFonts w:ascii="Times New Roman" w:cs="Times New Roman" w:eastAsia="Times New Roman" w:hAnsi="Times New Roman"/>
          <w:sz w:val="21"/>
          <w:szCs w:val="21"/>
          <w:color w:val="auto"/>
          <w:vertAlign w:val="superscript"/>
        </w:rPr>
      </w:pPr>
    </w:p>
    <w:p>
      <w:pPr>
        <w:ind w:left="340"/>
        <w:spacing w:after="0" w:line="29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Additionally, during the nine months ended September 30, 2024, we repaid $786 of sellers’ notes related to the former owners of a previous non-controlling interest, which was included in “Current portion of debt, net” at December 31, 2023.</w:t>
      </w:r>
    </w:p>
    <w:p>
      <w:pPr>
        <w:spacing w:after="0" w:line="42"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during the second quarter of 2023. A total of $1,964 of the ERTC Claim remains outstanding as of September 30, 2024 and December 31, 2023, which receivable is included in “Other current assets” on the unaudited Condensed Consolidated Balance Sheets, and the balance outstanding under the Financing Agreement is included in “Current portion of debt, net.”</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Liabilities related to finance leases. See Note 10, “Leases,” for additional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 following cash payments are payable under our debt arrangements: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Remainder of 2024</w:t>
            </w: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r>
      <w:tr>
        <w:trPr>
          <w:trHeight w:val="234"/>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note maturities</w:t>
            </w: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295,000</w:t>
            </w:r>
          </w:p>
        </w:tc>
      </w:tr>
    </w:tbl>
    <w:p>
      <w:pPr>
        <w:spacing w:after="0" w:line="15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cash payments include an interest accretion component. The timing of certain payments may vary based on regulatory approval of the underlying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during the three and nine months ended September 30, 2024 and 2023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19,479</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Interest on financing liabilities</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28,419</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$3,527 of pre-payment fees associated with the partial extinguishment treatment of the pre-payment made under the 2021 Credit Facility and the write-off of $1,948 of unamortized deferred financing costs.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on financing liability related to failed sale leaseback transactions. See Note 10, “Leases,” for additional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shares of Class A common stock and Class B common stock outstanding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206,810</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214,411</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during the nine months ended September 30,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7"/>
                <w:szCs w:val="17"/>
                <w:color w:val="auto"/>
              </w:rPr>
            </w:pPr>
          </w:p>
        </w:tc>
        <w:tc>
          <w:tcPr>
            <w:tcW w:w="170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160" w:type="dxa"/>
            <w:vAlign w:val="bottom"/>
          </w:tcPr>
          <w:p>
            <w:pPr>
              <w:spacing w:after="0"/>
              <w:rPr>
                <w:sz w:val="15"/>
                <w:szCs w:val="15"/>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Remaining Exercise</w:t>
            </w: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Period</w:t>
            </w:r>
          </w:p>
        </w:tc>
        <w:tc>
          <w:tcPr>
            <w:tcW w:w="140" w:type="dxa"/>
            <w:vAlign w:val="bottom"/>
          </w:tcPr>
          <w:p>
            <w:pPr>
              <w:spacing w:after="0"/>
              <w:rPr>
                <w:sz w:val="16"/>
                <w:szCs w:val="16"/>
                <w:color w:val="auto"/>
              </w:rPr>
            </w:pPr>
          </w:p>
        </w:tc>
        <w:tc>
          <w:tcPr>
            <w:tcW w:w="1700" w:type="dxa"/>
            <w:vAlign w:val="bottom"/>
          </w:tcPr>
          <w:p>
            <w:pPr>
              <w:jc w:val="center"/>
              <w:ind w:right="52"/>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(years)</w:t>
            </w:r>
          </w:p>
        </w:tc>
        <w:tc>
          <w:tcPr>
            <w:tcW w:w="140" w:type="dxa"/>
            <w:vAlign w:val="bottom"/>
          </w:tcPr>
          <w:p>
            <w:pPr>
              <w:spacing w:after="0"/>
              <w:rPr>
                <w:sz w:val="18"/>
                <w:szCs w:val="18"/>
                <w:color w:val="auto"/>
              </w:rPr>
            </w:pPr>
          </w:p>
        </w:tc>
        <w:tc>
          <w:tcPr>
            <w:tcW w:w="1700" w:type="dxa"/>
            <w:vAlign w:val="bottom"/>
          </w:tcPr>
          <w:p>
            <w:pPr>
              <w:jc w:val="center"/>
              <w:ind w:right="52"/>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6"/>
              </w:rPr>
              <w:t>(in thousands)</w:t>
            </w:r>
            <w:r>
              <w:rPr>
                <w:rFonts w:ascii="Times New Roman" w:cs="Times New Roman" w:eastAsia="Times New Roman" w:hAnsi="Times New Roman"/>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September 30, 2024</w:t>
            </w:r>
            <w:r>
              <w:rPr>
                <w:rFonts w:ascii="Times New Roman" w:cs="Times New Roman" w:eastAsia="Times New Roman" w:hAnsi="Times New Roman"/>
                <w:sz w:val="23"/>
                <w:szCs w:val="23"/>
                <w:color w:val="auto"/>
                <w:vertAlign w:val="superscript"/>
              </w:rPr>
              <w:t>(2)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warrants outstanding as of September 30, 2024 are equity-classified instruments, are subject to customary anti-dilution adjustments, and are stand-alone instruments. The fair value per warrant was calculated at issuance using a Black-Scholes model and ranged from $0.06 to $0.84. Significant assumptions used in the calculations included volatility ranging from 70.0% to 87.5% and risk-free rates ranging from 0.3% to 4.2%. No warrants were exercised during the nine months ended September 30, 2024.</w:t>
      </w:r>
    </w:p>
    <w:p>
      <w:pPr>
        <w:spacing w:after="0" w:line="200" w:lineRule="exact"/>
        <w:rPr>
          <w:sz w:val="20"/>
          <w:szCs w:val="20"/>
          <w:color w:val="auto"/>
        </w:rPr>
      </w:pPr>
    </w:p>
    <w:p>
      <w:pPr>
        <w:ind w:right="7220" w:firstLine="8"/>
        <w:spacing w:after="0" w:line="440" w:lineRule="auto"/>
        <w:tabs>
          <w:tab w:leader="none" w:pos="27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EXPENSE Equity Incentive Plans</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As of September 30, 2024, a total of 9,994 Awards had been granted under the 2020 Plan and, as of September 30, 2024, there are no remaining unvested Awards and no remaining unrecognized compensation cost associated with these Awards. The Awards issued generally vested over two or three years and the estimated fair value of the Awards at issuance was recognized as compensation expense over the related vesting period.</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September 30, 2024, there were 10,729 shares of Class A common stock available for grant for future equity-based compensation awards under the Amended 2021 Plan. Activity related to awards issued under the Amended 2021 Plan is further described below. As of September 30, 2024, no SAR Awards and no RSAs had been granted under the Amended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6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Life</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2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7"/>
              </w:rPr>
              <w:t>(years)</w:t>
            </w:r>
          </w:p>
        </w:tc>
        <w:tc>
          <w:tcPr>
            <w:tcW w:w="320" w:type="dxa"/>
            <w:vAlign w:val="bottom"/>
          </w:tcPr>
          <w:p>
            <w:pPr>
              <w:spacing w:after="0"/>
              <w:rPr>
                <w:sz w:val="15"/>
                <w:szCs w:val="15"/>
                <w:color w:val="auto"/>
              </w:rPr>
            </w:pPr>
          </w:p>
        </w:tc>
        <w:tc>
          <w:tcPr>
            <w:tcW w:w="1360" w:type="dxa"/>
            <w:vAlign w:val="bottom"/>
          </w:tcPr>
          <w:p>
            <w:pPr>
              <w:jc w:val="right"/>
              <w:ind w:right="474"/>
              <w:spacing w:after="0" w:line="156"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8"/>
              </w:rPr>
              <w:t>4,010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7"/>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6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7"/>
              </w:rPr>
              <w:t>(346)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 2024</w:t>
            </w:r>
          </w:p>
        </w:tc>
        <w:tc>
          <w:tcPr>
            <w:tcW w:w="16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8"/>
              </w:rPr>
              <w:t>3,346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Exercisable at September 30, 2024</w:t>
            </w:r>
          </w:p>
        </w:tc>
        <w:tc>
          <w:tcPr>
            <w:tcW w:w="16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8"/>
              </w:rPr>
              <w:t>2,212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$742 as of September 30, 2024, which is expected to be recognized over a weighted-average remaining period of 2.0 years.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during the nine months ended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8"/>
                <w:szCs w:val="18"/>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r>
      <w:tr>
        <w:trPr>
          <w:trHeight w:val="216"/>
        </w:trPr>
        <w:tc>
          <w:tcPr>
            <w:tcW w:w="656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Vested</w:t>
            </w:r>
            <w:r>
              <w:rPr>
                <w:rFonts w:ascii="Times New Roman" w:cs="Times New Roman" w:eastAsia="Times New Roman" w:hAnsi="Times New Roman"/>
                <w:sz w:val="10"/>
                <w:szCs w:val="10"/>
                <w:color w:val="auto"/>
              </w:rPr>
              <w:t>(1)(2)</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September 30, 2024</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189" w:lineRule="exact"/>
        <w:rPr>
          <w:sz w:val="20"/>
          <w:szCs w:val="20"/>
          <w:color w:val="auto"/>
        </w:rPr>
      </w:pPr>
    </w:p>
    <w:p>
      <w:pPr>
        <w:jc w:val="both"/>
        <w:ind w:left="340" w:hanging="332"/>
        <w:spacing w:after="0" w:line="231"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RSUs issued for the 2023 annual performance bonus that vested at issuance with a value of $3,304, of which $2,838 is included in “Accounts payable and accrued liabilities” on the unaudited Condensed Consolidated Balance Sheet at December 31, 2023, with the remainder reflected as a change in estimate that is included within “General and administrative expenses” on the unaudited Condensed Consolidated Statements of Operations for the nine months ended September 30, 2024.</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3,964 vested shares that were withheld to cover tax obligations and were subsequently cancelled.</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cost related to the RSUs was $8,154, which is expected to be recognized over a weighted-average remaining period of 2.8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Awards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2023, the Company’s board of directors approved the grant of 4,000 RSUs outside of the Company’s Amended 2021 Plan (the “August 2023 Grant”). The August 2023 Grant was issued pursuant to an employment agreement and vests upon the later of the second anniversary of employment and the achievement of certain stock price targets. Continued service to the Company is required as of the date the vesting conditions are satisfied. The August 2023 Grant was forfeited in August 2024 following the cessation of the associated service to the Company and $638 of associated equity-based compensation was reversed during the three months ended September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equity-based compensation expense by type of award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8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r>
      <w:tr>
        <w:trPr>
          <w:trHeight w:val="229"/>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Shares</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equity-based compensation expense</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right="20" w:hanging="332"/>
        <w:spacing w:after="0" w:line="225"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three months ended September 30, 2024 reflects the reversal of equity-based compensation associated with RSUs and performance based awards that were forfeited during the period.</w:t>
      </w:r>
    </w:p>
    <w:p>
      <w:pPr>
        <w:spacing w:after="0" w:line="1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a net benefit of $359 from the forfeiture of certain unvested awards within “General and administrative expenses” on the unaudited Condensed Consolidated Statements of Operations and recognized $230 of expense within “Cost of goods sold.” During the nine months ended September 30, 2024, the Company recognized $9,289 of expense within “General and administrative expenses” and $6,777 within “Cost of goods sold.” During the three and nine months ended September 30, 2023, the Company recognized $3,134 and $8,287, respectively, of expense within “General and administrative expenses” and recognized $2,476 and $4,457, respectively, within “Cost of goods sold.”</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capitalized $164 and $1,830, respectively, of equity-based compensation expense to inventory, and $6,516 and $5,689 was capitalized during the nine months ended September 30, 2024 and 2023, respectively. As of September 30, 2024 and December 31, 2023, $1,707 and $1,968, respectively, remained capitalized in inventory.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4"/>
                <w:szCs w:val="24"/>
                <w:color w:val="auto"/>
              </w:rPr>
            </w:pPr>
          </w:p>
        </w:tc>
        <w:tc>
          <w:tcPr>
            <w:tcW w:w="31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3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380" w:type="dxa"/>
            <w:vAlign w:val="bottom"/>
          </w:tcPr>
          <w:p>
            <w:pPr>
              <w:spacing w:after="0"/>
              <w:rPr>
                <w:sz w:val="14"/>
                <w:szCs w:val="14"/>
                <w:color w:val="auto"/>
              </w:rPr>
            </w:pPr>
          </w:p>
        </w:tc>
        <w:tc>
          <w:tcPr>
            <w:tcW w:w="136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(18,489)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(33,820)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(7,391)</w:t>
            </w: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9,767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21,480</w:t>
            </w: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(290.6)%</w:t>
            </w:r>
          </w:p>
        </w:tc>
      </w:tr>
      <w:tr>
        <w:trPr>
          <w:trHeight w:val="257"/>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43,729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137,339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107,579</w:t>
            </w:r>
          </w:p>
        </w:tc>
      </w:tr>
      <w:tr>
        <w:trPr>
          <w:trHeight w:val="234"/>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 on gross profit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2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72,955</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w:t>
            </w:r>
          </w:p>
        </w:tc>
      </w:tr>
      <w:tr>
        <w:trPr>
          <w:trHeight w:val="229"/>
        </w:trPr>
        <w:tc>
          <w:tcPr>
            <w:tcW w:w="8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Additions for tax positions related to prior years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126,401</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approximately $17,000 of IRC Section 280E refunds received during the nine months ended September 30, 2024.</w:t>
      </w:r>
    </w:p>
    <w:p>
      <w:pPr>
        <w:spacing w:after="0" w:line="1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total of $15,809 of interest and penalties is accrued for the uncertain tax positions as of September 30, 2024, which includes $10,385 related to the current year and $5,424 for prior years.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7520" w:firstLine="8"/>
        <w:spacing w:after="0" w:line="440"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future annual commitments, other than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through which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of which none has been funded to date. This additional $10,000 is included within “Other non-current liabilities” on the unaudited Condensed Consolidated Balance Sheets at September 30, 2024 and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Matters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September 30, 2024 in all material respects, cannabis regulations continue to evolve and are subject to differing interpretations, and accordingly, the Company may be subject to regulatory fines, penalties, or restrictions in the future.</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September 30, 2024 there were no pending or threatened lawsuits that could reasonably be expected to have a material effect on our consolidated results of operations, other than as disclosed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appointed April 25, 2024 as the deadline for MedMen to obtain new counsel, which, as of the date of filing of this Form 10-Q, had not occurred.</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confirming the appointment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following the Company’s decision to no longer consummate the contemplated transactions, the Company established an estimated reserve of $3,700 related to the amounts that it has been actively pursuing collecting, which reserve is included within “Other current assets” on the unaudited Condensed Consolidated Balance Sheet as of December 31, 2023. During the nine months ended September 30, 2024, the Company increased the estimated reserve by $5,447, which is included within “General and administrative expenses” on the unaudited Condensed Consolidated Statements of Operations and within “Other” on the unaudited Condensed Consolidated Statements of Cash Flows. The total reserve as of September 30, 2024 is reflective of all outstanding balances and of which $2,422 is included within “Notes receivable” on the unaudited Condensed Consolidated Balance Sheet, $6,695 is included within “Other current assets,” and the remainder is included within “Other noncurrent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In February 2024, the TVP Parties notified the Company that they were exercising the Put Option and the transfer was completed in May 2024, at which time the Escrow Units were released to the TVP Parties and the TVP Parties transferred to the Company the equity interests of the entities that hold three real estate properties. The underlying properties were determined to have a total fair value of $5,400 as of the settlement date, which was included within “Other noncurrent assets” on the unaudited Condensed Consolidated Balance Sheet as of December 31, 2023 and was reclassified to “Property and equipment, net” as of the transfer date. Prior to the completion of the transfer, the Company operated dispensaries at these locations pursuant to lease agreements, which operations will continue at the now-owned properties.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related party transactions during the nine months ended September 30, 2024, other than as disclosed in Note 6,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17. SUPPLEMENTAL INFORMATION</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other current assets: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4"/>
                <w:szCs w:val="24"/>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deposits</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32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19,644</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accounts payable and accrued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 purchases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71,112</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general and administrative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49,043</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management discussion and analysis, which we refer to as the “MD&amp;A,” of the financial condition and results of operations of Ascend Wellness Holdings, Inc. (the “Company,” “AWH,” or “Ascend”) is for the three and nine months ended September 30, 2024 and 2023.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2023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more information.</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shares of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under the symbol “AAWH.” We are an emerging growth company under federal securities laws and as such we are able to elect to follow scaled disclosure requirements for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Established in 2018 and headquartered in Morristown,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formation, we have expanded our operational footprint, primarily through acquisitions, and, as of September 30, 2024,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expansion of our current facilities, and increased consumer demand. We currently employ approximately 2,300 people.</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consumer products portfolio is generated primarily from plant material that we grow and process ourselves. As of September 30, 2024, we produce our consumer packaged goods in seven manufacturing facilities with 255,000 square feet of total canopy. During the three and nine months ended September 30, 2024, we sold approximately 48,000 and 141,000 pounds of wholesale product, on a gross basis, respectively, compared to 40,000 and 101,000 pounds during the three and nine months ended September 30, 2023, respectively. In January 2024, we entered into a definitive agreement to acquire a cultivation license and a manufacturer license that we intend to use at a second cultivation site in Massachusetts to further expand our production capacity in that market. We added approximately 15,000 square feet of total additional canopy with this additional site, which build out was largely completed during the second quarter of 2024, and anticipate the transaction will close in early 2025. Our product portfolio consists of a range of cannabis product categories including flower, pre-rolls, concentrates, vapes, edibles, and other cannabis-related products. As of September 30, 2024, we have 39 open and operating retail locations, which includes 2 partner locations, and by the end of 2024 we expect to have 40 total retail locations, including 2 partner locations. Our new store opening plans are flexible and will ultimately depend on market conditions, local licensing, construction, and other regulatory permissions. We are also pursuing opportunities to partner with social equity license holders to expand our presence in various states. All of our expansion plans are subject to capital allocations decisions, the evolving regulatory environment, and the general economic environment.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continuously reviewing its footprint in order to optimize its operations, including expansion opportunities across the markets in which it operates. Some of the highlights achieved during the quarter include:</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non-medical sales at five dispensaries in Ohio;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a fifth dispensary in Pennsylvania;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positive net cash from operating activities and refinancing a portion of our previously outstanding debt obligations, as further described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Cultivation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and manufacturer license from a third party in Massachusetts for a cash purchase price of $2,750, which total may be adjusted at final closing as provided in the Massachusetts Purchase Agreement and of which $1,500 was paid at signing and $1,250 was paid on October 1, 2024. The transfer of each license is subject to regulatory review and approval, which the Company expects may occur within twelve months following the signing date. The licenses were not associated with active operations at signing, but operations have since commenced. In conjunction with the Massachusetts Purchase Agreement, the parties also entered into a bridge loan which provides for the financing of certain covered expenses, at the sole discretion of the Company. This bridge loan bears interest based on the federal funds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Company has agreed to assume the lease for the associated location and to reimburse the seller for the security deposit at final closing. The Company recognized a lease liability and right-of-use (“ROU”) asset of $761 as of the signing date. Refer to Note 4, “Acquisitions,” in the Financial Statements for additional information related to this transaction and to Note 10, “Leases,” for additional information regarding the Company’s leases.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Detroit License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the Company acquired 49% of the member interests of an entity (the “Detroit License Holder”) that received a conditional approval for an adult-use license in Detroit, Michigan (the “Detroit License”). The Detroit License was not associated with active operations as of the closing date and the Detroit License Holder had no other active operations as of that date. The Company anticipates transferring the Detroit License to its existing dispensary in Detroit, Michigan, subject to regulatory approvals. The Company paid $850 of cash consideration at closing and the sellers may receive up to an additional $2,250 based upon the achievement of certain levels of sales during a specified twelve month period following the commencement of adult-use sales at the dispensary. The underlying agreement also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the Detroit License Holder is a variable interest entity (“VIE”) and the Company became the primary beneficiary as of the closing date; therefore, the Detroit License Holder is consolidated as a VIE. The total transaction consideration of $1,140 was allocated to the license acquired and consisted of the $850 of cash consideration plus the initial estimated fair value of the contingent consideration of $290.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4, “Acquisitions,” in the Financial Statements for additional information related to this transaction and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Patient Access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remains subject to regulatory review and approval. Once regulatory approval is received, the Company may exercise the option, and the exercise is solely within the Company’s control. The Company anticipates exercising the option prior to the March 22, 2026 amended expiration date. Under the Ohio Agreement, the Company will also acquire the real property of the three dispensary locations. OPA had not yet commenced operations as of the signing date, but subsequently opened two dispensaries in December 2023 and a third in January 2024. The Company determined OPA is a VIE and the Company became the primary beneficiary as of the signing date; therefore, OPA is consolidated as a VIE.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Ohio Agreement also includes an earn-out provision of $7,300 that is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 The parties amended the Ohio Agreement in June 2024 to incorporate certain provisions regarding evolving regulations in Ohio, including that the Company will, upon final closing of the Ohio Agreement, receive two additional adult-use licenses that are expected to be awarded to OPA. Refer to Note 4, “Acquisitions,” in the Financial Statements for additional information related to this transaction and to Note 8, “Variable Interest Entities,” for additional information regarding the Company’s VIEs.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Licenses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for combined total cash consideration of $11,100. Operations at one of the locations commenced during the second quarter of 2023 and the final closing occurred in April 2024. Operations at the second location commenced during the fourth quarter of 2023 and final closing occurred in July 2024. Refer to Note 4, “Acquisitions,” in the Financial Statements for additional information related to these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Variable Interest Entities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2024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to a third party (the “January 2024 Loan Agreement”). The January 2024 Loan Agreement contains certain provisions and restrictive covenants that provide the Company with operational and financial influence over the underlying entity and also provides the Company with financial distributions based on the underlying associated results of operations. Additionally,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The Company determined that the terms and provisions of the January 2024 Loan Agreement create a variable interest in the third-party entity and met the criteria for consolidation as a VIE as of such date. The third-party entity received a conditional license approval for one dispensary in New Jersey that was determined to have a fair value of $1,050, which approximated the fair value of the non-controlling interest held by the third-party as of the effective date. The net loss attributable to the non-controlling interest was not significant during the three and nine months ended September 30, 2024. Since the entity is consolidated as a VIE, the intercompany activity related to the January 2024 Loan Agreement is eliminated in consolidation. Refer to Note 8, “Variable Interest Entities,” in the Financial Statements for additional information regarding this transaction and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February 2024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2024, the Company entered into a loan agreement pursuant to which the Company may provide financing to a third party at its sole discretion (the “February 2024 Loan Agreement”). The February 2024 Loan Agreement initially provided for up to $3,750 of financing, but was amended in July 2024 to increase the funding amount based on the Company’s sole discretion at such a time that the borrower requests additional funding. The parties also entered into a support services agreement under which the Company will provide management and advisory services for a set monthly fee. The terms of the February 2024 Loan Agreement contain certain provisions and restrictive covenants that provide the Company with operational and financial influence over the underlying entity. The February 2024 Loan Agreement provides the Company with the option to convert the outstanding balance into equity interests of the borrower, up to 100%, as may be permissible by applicable regulations at such time. The Company determined that the terms and provisions of the February 2024 Loan Agreement and support services agreement create a variable interest in the third-party entity and met the criteria for consolidation as a VIE as of such date. The entity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Since the entity is consolidated as a VIE, the intercompany activity related to the February 2024 Loan Agreement and the related support services agreement is eliminated in consolidation.</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in April 2024, this third party acquired two dispensaries in the greater Chicago, Illinois area (the “Chicago Partner Dispensaries”). The parties entered into interim management services agreements (“MSAs”) pursuant to which the consolidated VIE will advise on certain business, operational, and financial matters for a monthly fee while the parties finalize asset purchase agreements to acquire the underlying dispensaries (the “Illinois MSAs”). The total purchase price of approximately $10,000 of cash consideration is subject to certain closing adjustments. An initial deposit of $1,500 was remitted during the three months ended March 31, 2024. The remainder of $8,500 was remitted to escrow during the three months ended June 30, 2024 and remained in escrow as of September 30, 2024. The asset purchase agreements in respect of the Chicago Partner Dispensaries are subject to regulatory review and approval. Based on the provisions of the Illinois MSAs, the third party obtained operational and financial influence over the dispensaries and therefore recognized the transaction as a business combination as of the April 2024 regulatory approval date of the Illinois MSAs. Refer to Note 4, “Acquisitions,” in the Financial Statements for additional information related to this transaction and Note 8, “Variable Interest Entities,” for additional information regarding the Company’s VIEs.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Regulation 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75"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$379 during the three months ended September 30, 2024, as compared to the three months ended September 30, 2023, primarily driven by incremental revenue from acquisitions and expansion of our cultivation activities, largely offset by declines in certain legacy markets.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$2,417 during the three months ended September 30, 2024, as compared to operating income of $3,547 during the three months ended September 30, 2023, primarily driven by higher general and administrative expenses largely attributable to certain one time costs, including expenses associated with our debt refinancing and other strategic initiatives.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decrease in cash and cash equivalents of $7,229 during the nine months ended September 30, 2024, primarily driven by payments associated with acquisitions, investments in capital assets, and debt issuance costs, all partially offset by a benefit from the timing and amount of tax payments, including certain tax refunds received, as well as the timing of timing of payments related to working capital activities and the collection of a note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with the Three Months Ended September 30, 2023</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60" w:type="dxa"/>
            <w:vAlign w:val="bottom"/>
          </w:tcPr>
          <w:p>
            <w:pPr>
              <w:spacing w:after="0"/>
              <w:rPr>
                <w:sz w:val="15"/>
                <w:szCs w:val="15"/>
                <w:color w:val="auto"/>
              </w:rPr>
            </w:pPr>
          </w:p>
        </w:tc>
        <w:tc>
          <w:tcPr>
            <w:tcW w:w="1500" w:type="dxa"/>
            <w:vAlign w:val="bottom"/>
          </w:tcPr>
          <w:p>
            <w:pPr>
              <w:jc w:val="right"/>
              <w:ind w:right="71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31"/>
              <w:spacing w:after="0" w:line="156"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54"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141,647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141,268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(97,918)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(97,712)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43,729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43,556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14"/>
        </w:trPr>
        <w:tc>
          <w:tcPr>
            <w:tcW w:w="2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30.9 %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30.8 %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46,146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40,009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(16,481)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(8,963)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84%</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(16,072)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(8,061)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(18,489)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(4,514)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310%</w:t>
            </w: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(9,767)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(6,726)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(28,256)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(11,240)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increased by $379 during the three months ended September 30, 2024, as compared to the three months ended September 30, 2023. The modest increase was primarily driven by $8,043 of incremental net revenue from our wholesale operations, in large part as a result of expansion across certain markets, particularly in New Jersey and Massachusetts. During the three months ended September 30, 2024, we sold approximately 48,000 pounds of wholesale product, on a gross basis, compared to 40,000 pounds during the three months ended September 30, 2023. Additionally, we recognized $8,708 of incremental revenue from acquisitions, which includes a benefit from store openings in 2024 and late 2023 associated with previously acquired licenses and a benefit from the commencement of non-medical sales in Ohio, as well as a contribution of $1,323 of incremental revenue from partner stores. These increases were partially offset by a decrease of $17,695 across our legacy locations, primarily in Illinois, New Jersey, and Massachusetts due to increased competition in those markets.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goods sold increased by $206 during the three months ended September 30, 2024, as compared to the three months ended September 30, 2023. Cost of goods sold represents direct and indirect expenses attributable to the production of wholesale products as well as direct expenses incurred in purchasing products from other wholesalers. Gross profit for the three months ended September 30, 2024 was $43,729, representing a gross margin of 30.9%, compared to gross profit of $43,556 and gross margin of 30.8% for the three months ended September 30, 2023. Gross margin for the current quarter was impacted by increased competition in certain markets, partially offset by improved utilization at our Massachusetts and New Jersey cultivation facilities and expansion of wholesale sales in those markets, as well as a benefit from the commencement of non-medical sales in Ohio. The current period also benefited from $1,189 of lower write-downs of certain inventory items that were largely driven by pricing pressure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$6,137, or 15%, during the three months ended September 30, 2024, as compared to the three months ended September 30, 2023. The increase was primarily driven by:</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$4,546 of higher professional services fees, including expenses associated with our debt refinancing and other projects and strategic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$2,083 reserve recognized on a long-term receivable;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$2,079 increase in compensation expense due to higher average senior leadership headcount associated with the expansion of operations and severance costs associated with strategic streamlining in certain departments;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$1,269 increase in depreciation and amortization expense due to $896 of incremental amortization of licenses from prior year acquisitions and $373 of incremental depreciation expense associated with a larger average balance of fixed assets in service;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$853 of higher marketing expenses.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increases were partially offset by $3,493 of lower equity-based compensation expense driven by a reversal of expense associated with the forfeiture of certain awards during the current period as well as the absence of a $1,259 expense related to the write-off of certain previously capitalized construction projects recognized during the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Interest expense increased by $7,518, or 84%, during the three months ended September 30, 2024, as compared to the three months ended September 30, 2023, primarily driven by a $5,475 net loss on extinguishment associated with the prepayment of $215,000 of principal previously outstanding under a credit facility and higher cash interest associated with new term notes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These increases were partially offset by lower non-cash interest accretion due to a lower average balance outstanding under a financing agreement. During the three months ended September 30, 2024, the Company had a weighted-average outstanding debt balance of $325,477 with a weighted-average interest rate of 10.9%, excluding finance leases, compared to a weighted-average debt balance of $316,732 during the three months ended September 30, 2023 with a weighted-average interest rate of 9.6%.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net decreased by $493, or 55%, during the three months ended September 30, 2024, as compared to the three months ended September 30, 2023, primarily driven by lower interest income due to the absence of a loan receivable in the current 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Internal Revenue Code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As of September 30, 2024, the Company recorded an uncertain tax liability totaling $126,401 for uncertain tax positions related to the treatment of certain transactions and deductions under IRC Section 280E based on legal interpretations that challenge the Company’s tax liability under IRC Section 280E.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statutory federal tax rate was 21% during both periods. During the three months ended September 30, 2024 the Company had operations in seven U.S. geographic markets: Illinois, Maryland, Massachusetts, Michigan, New Jersey, Ohio, and Pennsylvania, which have state tax rates ranging from 6% to 11.5%. Certain states, including Illinois, Maryland, Michigan, and New Jersey,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$9,767, or 22.3%, of gross profit, during the three months ended September 30, 2024, as compared to $6,726, or 15.4%, of gross profit, during the three months ended September 30, 2023. The effective tax rate on gross profit for the three months ended September 30, 2024 was impacted by higher penalties and interest due on tax payments and uncertain tax positions and the tax treatment of certain accounting reserves, partially offset by a benefit from an incremental impact attributable to the tax treatment of certain acquired intangible assets. Refer to Note 14, “Income Taxes,” in the Financial Statements for additional information regarding the Company’s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the Nine Months Ended September 30, 2023</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40" w:type="dxa"/>
            <w:vAlign w:val="bottom"/>
          </w:tcPr>
          <w:p>
            <w:pPr>
              <w:spacing w:after="0"/>
              <w:rPr>
                <w:sz w:val="15"/>
                <w:szCs w:val="15"/>
                <w:color w:val="auto"/>
              </w:rPr>
            </w:pPr>
          </w:p>
        </w:tc>
        <w:tc>
          <w:tcPr>
            <w:tcW w:w="1500" w:type="dxa"/>
            <w:vAlign w:val="bottom"/>
          </w:tcPr>
          <w:p>
            <w:pPr>
              <w:jc w:val="right"/>
              <w:ind w:right="71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jc w:val="right"/>
              <w:ind w:right="711"/>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54"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425,593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378,432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(288,254)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(270,853)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137,339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107,579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r>
      <w:tr>
        <w:trPr>
          <w:trHeight w:val="214"/>
        </w:trPr>
        <w:tc>
          <w:tcPr>
            <w:tcW w:w="20" w:type="dxa"/>
            <w:vAlign w:val="bottom"/>
          </w:tcPr>
          <w:p>
            <w:pPr>
              <w:spacing w:after="0"/>
              <w:rPr>
                <w:sz w:val="18"/>
                <w:szCs w:val="18"/>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32.3 %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28.4 %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138,703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111,762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(4,183)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(33,554)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(28,419)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25,211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(32,456)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29,248</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912%</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(33,820)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(7,391)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358%</w:t>
            </w: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(21,480)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(68,203)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(28,871)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39,332</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increased by $47,161, or 12%, during the nine months ended September 30, 2024, as compared to the nine months ended September 30, 2023. Our revenue growth was primarily driven by $39,141 of incremental net revenue from our wholesale operations, in large part as a result of expansion across the markets in which we operate, particularly in New Jersey and Massachusetts. During the nine months ended September 30, 2024, we sold approximately 141,000 pounds of wholesale product, on a gross basis, compared to 101,000 pounds during the nine months ended September 30, 2023. Additionally, we recognized $39,194 of incremental revenue from acquisitions, including $17,590 from the Devi Maryland acquisition that occurred during the second quarter of 2023. This incremental increase was also driven by new store openings in 2024 and late 2023 associated with previously acquired licenses, including a benefit from the commencement of non-medical sales in Ohio, as well as a contribution of $1,435 of incremental revenue from partner stores. These increases were partially offset by a decrease of $32,609 across our legacy locations, primarily in Illinois and New Jersey due to increased competition in those markets.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goods sold increased by $17,401, or 6%, during the nine months ended September 30, 2024, as compared to the nine months ended September 30, 2023. Cost of goods sold represents direct and indirect expenses attributable to the production of wholesale products as well as direct expenses incurred in purchasing products from other wholesalers. Gross profit for the nine months ended September 30, 2024 was $137,339, representing a gross margin of 32.3%, compared to gross profit of $107,579 and gross margin of 28.4% for the nine months ended September 30, 2023. Gross margin for the current period benefited from improved utilization at our Massachusetts and New Jersey cultivation facilities and expansion of wholesale sales in those markets, as well as a benefit from the commencement of non-medical sales in Ohio, partially offset by increased competition in certain markets. The current period also benefited from $10,829 of lower write-downs of certain inventory items that were largely driven by pricing pressure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$26,941, or 24%, during the nine months ended September 30, 2024, as compared to the nine months ended September 30, 2023. The increase was primarily related to:</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$8,224 increase in total compensation expense due to higher average senior leadership headcount associated with the expansion of operations and severance costs associated with strategic streamlining in certain departments, which was partly offset by a reduction of equity-based compensation expense due to the forfeiture of certain awards in the current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$6,173 of higher professional services fees, including expenses associated with our debt refinancing and other projects and strategic initiatives;</w:t>
      </w:r>
    </w:p>
    <w:p>
      <w:pPr>
        <w:spacing w:after="0" w:line="16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$5,447 increase in an estimated reserve related to certain amounts associated with a previous transaction (refer to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Operations–Legal Matters–MedMen NY Litigation</w:t>
      </w:r>
      <w:r>
        <w:rPr>
          <w:rFonts w:ascii="Times New Roman" w:cs="Times New Roman" w:eastAsia="Times New Roman" w:hAnsi="Times New Roman"/>
          <w:sz w:val="18"/>
          <w:szCs w:val="18"/>
          <w:color w:val="auto"/>
        </w:rPr>
        <w:t>” for additional information);</w:t>
      </w:r>
    </w:p>
    <w:p>
      <w:pPr>
        <w:spacing w:after="0" w:line="1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$4,131 increase in depreciation and amortization expense due to $2,551 of incremental amortization of licenses driven by prior year acquisitions and $1,580 of incremental depreciation expense due to a larger average balance of fixed assets in service;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$2,083 reserve and $984 discount recognized on a long-term receivable;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$1,723 increase in overhead expenses due to expansion of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$728 of higher marketing expenses.</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the absence of a $1,804 estimated reserve for a note receivable and the absence of a $1,259 expense related to the write-off of certain previously capitalized construction projects that were recognized during the prior 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Interest expense increased by $5,135, or 18%, during the nine months ended September 30, 2024, as compared to the nine months ended September 30, 2023, primarily driven by a $5,475 net loss on extinguishment associated with the prepayment of $215,000 of principal previously outstanding under a credit facility and higher cash interest associated with new term notes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These increases were partially offset by lower non-cash interest accretion due to a lower average balance outstanding under a financing agreement. During the nine months ended September 30, 2024, the Company had a weighted-average outstanding debt balance of $319,014 with a weighted-average interest rate of 10.9%, excluding finance leases, compared to a weighted-average debt balance of $328,327 during the nine months ended September 30, 2023 with a weighted-average interest rate of 9.8%.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net decreased by $24,113 during the nine months ended September 30, 2024, as compared to the nine months ended September 30, 2023, primarily driven by the absence of a $22,794 employee retention tax credit claim (the “ERTC Claim”) recognized during the prior year period and lower interest income due to the absence of a loan receivable in the current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$34,383, or 25.0%, of gross profit, during the nine months ended September 30, 2024, as compared to $21,480, or 20.0%, of gross profit, during the nine months ended September 30, 2023. The effective tax rate on gross profit for the nine months ended September 30, 2024 was impacted by higher penalties and interest due on tax payments and uncertain tax positions and the tax treatment of certain accounting reserves, which was partially offset by a benefit from an incremental impact attributable to the tax treatment of certain acquired intangible assets. Refer to Note 14, “Income Taxes,” in the Financial Statements for additional information regarding the Company’s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Gross Profit for the three and nine months ended September 30,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3160" w:type="dxa"/>
            <w:vAlign w:val="bottom"/>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00" w:type="dxa"/>
            <w:vAlign w:val="bottom"/>
          </w:tcPr>
          <w:p>
            <w:pPr>
              <w:spacing w:after="0"/>
              <w:rPr>
                <w:sz w:val="14"/>
                <w:szCs w:val="14"/>
                <w:color w:val="auto"/>
              </w:rPr>
            </w:pPr>
          </w:p>
        </w:tc>
        <w:tc>
          <w:tcPr>
            <w:tcW w:w="132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611"/>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43,729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43,556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137,339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107,579</w:t>
            </w:r>
          </w:p>
        </w:tc>
      </w:tr>
      <w:tr>
        <w:trPr>
          <w:trHeight w:val="176"/>
        </w:trPr>
        <w:tc>
          <w:tcPr>
            <w:tcW w:w="20" w:type="dxa"/>
            <w:vAlign w:val="bottom"/>
          </w:tcPr>
          <w:p>
            <w:pPr>
              <w:spacing w:after="0"/>
              <w:rPr>
                <w:sz w:val="15"/>
                <w:szCs w:val="15"/>
                <w:color w:val="auto"/>
              </w:rPr>
            </w:pPr>
          </w:p>
        </w:tc>
        <w:tc>
          <w:tcPr>
            <w:tcW w:w="40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Depreciation and amortization included in cost of</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goods sold</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22,631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22,265</w:t>
            </w:r>
          </w:p>
        </w:tc>
      </w:tr>
      <w:tr>
        <w:trPr>
          <w:trHeight w:val="176"/>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Equity-based compensation included in cost of</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goods sold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4,457</w:t>
            </w:r>
          </w:p>
        </w:tc>
      </w:tr>
      <w:tr>
        <w:trPr>
          <w:trHeight w:val="229"/>
        </w:trPr>
        <w:tc>
          <w:tcPr>
            <w:tcW w:w="20" w:type="dxa"/>
            <w:vAlign w:val="bottom"/>
          </w:tcPr>
          <w:p>
            <w:pPr>
              <w:spacing w:after="0"/>
              <w:rPr>
                <w:sz w:val="19"/>
                <w:szCs w:val="19"/>
                <w:color w:val="auto"/>
              </w:rPr>
            </w:pPr>
          </w:p>
        </w:tc>
        <w:tc>
          <w:tcPr>
            <w:tcW w:w="40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Start-up costs included in cost of goods sold</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1,570</w:t>
            </w: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13,052</w:t>
            </w: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53,572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56,405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168,970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148,923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Adjusted Gross Margin</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37.8 %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39.9 %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39.7 %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39.4 %</w:t>
            </w:r>
          </w:p>
        </w:tc>
      </w:tr>
    </w:tbl>
    <w:p>
      <w:pPr>
        <w:spacing w:after="0" w:line="189" w:lineRule="exact"/>
        <w:rPr>
          <w:sz w:val="20"/>
          <w:szCs w:val="20"/>
          <w:color w:val="auto"/>
        </w:rPr>
      </w:pPr>
    </w:p>
    <w:p>
      <w:pPr>
        <w:ind w:left="340" w:hanging="332"/>
        <w:spacing w:after="0" w:line="225"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for the three and nine months ended September 30,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3160" w:type="dxa"/>
            <w:vAlign w:val="bottom"/>
            <w:gridSpan w:val="4"/>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00" w:type="dxa"/>
            <w:vAlign w:val="bottom"/>
          </w:tcPr>
          <w:p>
            <w:pPr>
              <w:spacing w:after="0"/>
              <w:rPr>
                <w:sz w:val="14"/>
                <w:szCs w:val="14"/>
                <w:color w:val="auto"/>
              </w:rPr>
            </w:pPr>
          </w:p>
        </w:tc>
        <w:tc>
          <w:tcPr>
            <w:tcW w:w="1340" w:type="dxa"/>
            <w:vAlign w:val="bottom"/>
          </w:tcPr>
          <w:p>
            <w:pPr>
              <w:jc w:val="right"/>
              <w:ind w:right="61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591"/>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(28,256)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(11,240)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(68,203)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9,767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21,480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(25,211)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16,481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33,554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28,419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16,628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48,689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44,192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13,052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16,066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12,744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Start-up costs</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Transaction-related and other non-recurring</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8,402</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18,006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4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25,117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85,938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74,157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17.7 %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20.9 %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20.2 %</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19.6 %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Also includes other one-time or non-recurring expenses, as applicable.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Legal and professional fees associated with litigation matters, potential acquisitions, other regulatory matters, and other non-recurring expenses. The three and nine months ended September 30, 2024 each include a reserve of $2,083 associated with a noncurrent receivable and approximately $3,600 of expenses associated with our debt refinancing. The nine months ended September 30, 2024 includes: a reserve of $5,447 related to certain amounts associated with a previous transaction, $984 recognized as a discount on a noncurrent receivable, and a fair value adjustment related to an acquisition earn-out of $630. The three and nine months ended September 30, 2023 include a fair value adjustment related to an acquisition earn-out of $606 and $1,594, respectively, and the nine months ended September 30, 2023 includes a $1,804 reserve on a note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 Additionally, during the second quarter of 2023, we raised an aggregate of $7,000 in gross proceeds through a non-brokered private placement offering of an aggregate of 9,859 shares of the Company’s Class A common stock to a single investor. Most recently, in July 2024 we issued term notes in aggregate principal of $235,000, which proceeds were used, together with cash on hand, to prepay a portion of our other term loans then-outstanding, as discussed further below.</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we had total current liabilities of $145,129 and $92,686, respectively, and total current assets of $213,578 and $228,860, respectively, which includes cash and cash equivalents of $65,279 and $72,508, respectively, to meet our current obligations. As of September 30, 2024, we had working capital of $68,449, compared to $136,174 as of December 31, 2023.</w:t>
      </w:r>
    </w:p>
    <w:p>
      <w:pPr>
        <w:spacing w:after="0" w:line="12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Approximately 90% of our cash and cash equivalents balance as of each of September 30, 2024 and December 31, 2023 is on deposit with banks, credit unions, or other financial institutions. We have not experienced any material impacts related to banking restrictions applicable to cannabis businesses. Our cash and cash equivalents balance is not restricted for use by VIEs.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we had an accumulated deficit as of September 30, 2024 and December 31, 2023, as well as a net loss for the nine months ended September 30, 2024 and 2023,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Notes Offering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16, 2024, the Company issued $235,000 in aggregate principal of senior secured notes due July 16, 2029 (the “2024 Term Notes”) through a private placement (the “2024 Notes Offering”) pursuant to an indenture agreement (the “July 2024 Loan Agreement”). The 2024 Term Notes were issued at 94.75% of face value and do not require scheduled principal amortization payments. The 2024 Term Notes bear interest at a rate of 12.75% per annum, payable semi-annually in arrears on January 15 and July 15 of each year until the maturity date, commencing on January 15, 2025, unless earlier prepaid in accordance with the terms of the July 2024 Loan Agreement.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2024 Term Notes were funded by a combination of new and existing lenders. Borrowings from these existing lenders were accounted for as a modification of existing debt. The Company incurred approximately $3,600 of other expenses associated with this transaction that are included within “General and administrative expenses” on the unaudited Condensed Consolidated Statements of Operations in the Financial Statements for the three and nine months ended September 30, 2024.</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The July 2024 Loan Agreement also requires the Company, on a consolidated basis, to maintain liquidity, consisting of cash and/or cash equivalents plus any future revolving credit availability, at all times in an aggregate amount of at least $20,000, with which the Company was in compliance as of September 30, 2024. The Company is required to comply with certain other financial covenants in contemplation of certain transactions or events, such as acquisitions and other financing activities, as defined within and provided for under the July 2024 Loan Agreement.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11, “Debt,” in the Financial Statements for additional information regarding the Company’s debt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The 2021 Credit Facility matures on August 27, 2025 and does not require scheduled principal amortization payments. Borrowings under the 2021 Credit Facility bear interest at a rate of 9.5% per annum, payable quarterly. The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at their discretion.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 In June 2024, the 2021 Credit Agreement was amended to, among other things, permit the Company to issue new senior secured notes.</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2024, the 2021 Credit Agreement was amended to, among other things, permit the Company to issue new senior secured notes. In July 2024, the Company prepaid $215,000 of borrowings outstanding under the 2021 Credit Facility, primarily utilizing the proceeds from the issuance of the 2024 Term Notes, discussed above. The remaining $60,000 of borrowings outstanding under the 2021 Credit Facility will remain outstanding based on the original terms of the 2021 Credit Agreement. The Company recognized, as a component of interest expense, a loss on extinguishment of $5,475, which includes $3,527 of prepayment fees and the write-off of $1,948 of unamortized deferred financing costs that were attributable to those lenders who did not provide funding under the new notes. A total of $1,579 of prepayment fees and $1,428 of previously unamortized deferred financing costs that were associated with existing lenders who participated in the new notes will remain capitalized and will be deferred over the term of the new notes in accordance with modification treatment. The total prepayment fee is included within “Debt issuance costs” on the unaudited Condensed Consolidated Statement of Cash Flows in the Financial Statements for the nine months ended September 30, 2024. A total of $943 of unamortized deferred financing costs were associated with the portion of the 2021 Credit Facility that was not prepaid and will be amortized through the remaining term of those loans.</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was in compliance with these covenants as of September 30, 2024. Refer to Note 11, “Debt,” in the Financial Statements for additional information regarding the Company’s debt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2022, we received $19,364 pursuant to a financing agreement with a third-party lender (the “Financing Agreement”). The Company assigned to the lender its interests in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unaudited Condensed Consolidated Statements of Operations in the Financial Statements during the nine months ended September 30, 2023. A total of $1,964 of the ERTC Claim remains outstanding as of September 30, 2024 and December 31, 2023, which receivable is included in “Other current assets” on the unaudited Condensed Consolidated Balance Sheets in the Financial Statements, and the balance outstanding under the Financing Agreement is included in “Current portion of debt, net.” Refer to Note 11, “Debt,” in the Financial Statements for additional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6"/>
              </w:rPr>
              <w:t>58,666</w:t>
            </w:r>
          </w:p>
        </w:tc>
      </w:tr>
      <w:tr>
        <w:trPr>
          <w:trHeight w:val="257"/>
        </w:trPr>
        <w:tc>
          <w:tcPr>
            <w:tcW w:w="20" w:type="dxa"/>
            <w:vAlign w:val="bottom"/>
          </w:tcPr>
          <w:p>
            <w:pPr>
              <w:spacing w:after="0"/>
              <w:rPr>
                <w:sz w:val="22"/>
                <w:szCs w:val="22"/>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22"/>
                <w:szCs w:val="22"/>
                <w:color w:val="auto"/>
              </w:rPr>
            </w:pPr>
          </w:p>
        </w:tc>
        <w:tc>
          <w:tcPr>
            <w:tcW w:w="16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(30,004)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(51,736)</w:t>
            </w:r>
          </w:p>
        </w:tc>
      </w:tr>
      <w:tr>
        <w:trPr>
          <w:trHeight w:val="256"/>
        </w:trPr>
        <w:tc>
          <w:tcPr>
            <w:tcW w:w="20" w:type="dxa"/>
            <w:vAlign w:val="bottom"/>
            <w:shd w:val="clear" w:color="auto" w:fill="CCEEFF"/>
          </w:tcPr>
          <w:p>
            <w:pPr>
              <w:spacing w:after="0"/>
              <w:rPr>
                <w:sz w:val="22"/>
                <w:szCs w:val="22"/>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(15,351)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(17,155)</w:t>
            </w: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by $20,540 during the nine months ended September 30, 2024, as compared to the nine months ended September 30, 2023, primarily driven by an impact from the timing of payments to suppliers and vendors and other working capital payments, including the payment of approximately $2,800 of expenses associated with our debt refinancing that are not capitalizable and $2,458 of fair value accretion associated with the payment of contingent consideration related to a prior acquisition. The nine months ended September 30, 2024 includes income tax refunds totaling approximately $17,800. Comparatively, the nine months ended September 30, 2023 includes the recognition of the $22,794 ERTC Claim, of which $20,830 was received during that period.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$21,732 during the nine months ended September 30, 2024, as compared to the nine months ended September 30, 2023, primarily due to lower payments associated with acquisitions and lower net investments in notes receivable, partially offset by the absence of proceeds from the sale of assets and higher capital expenditures.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decreased by $1,804 during the nine months ended September 30, 2024, as compared to the nine months ended September 30, 2023. The current period reflects the utilization of proceeds from the issuance of the 2024 Term Notes to partially prepay amounts outstanding under the 2021 Credit Facility and related financing costs. Additionally, the current period was impacted by the payment of contingent consideration associated with a prior acquisition and higher cash remittances of taxes withheld under equity-based compensation plans, as well as the absence of proceeds received from the issuance of common stock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material future contractual obligations as of September 30,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Commitments Due by Period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Remainder of</w:t>
            </w: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2025 - 2026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2027 - 2028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Term notes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Fixed interest related to term notes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arrangements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our term notes payable. Refer to Note 11, “Debt,” in the Financial Statements for additional information.</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fixed interest rate payments on borrowings under our term notes payable based on the principal outstanding as of September 30, 2024. Interest payments could fluctuate based on prepayments or additional amounts borrowed.</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operating leases that did not meet the criteria to qualify for sale leaseback treatment. Refer to Note 10, “Leases,” in the Financial Statements for additional information.</w:t>
      </w:r>
    </w:p>
    <w:p>
      <w:pPr>
        <w:spacing w:after="0" w:line="87"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leases. Refer to Note 10, “Leases,” in the Financial Statements for additional information.</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excludes up to a total of $10,000 that we expect to fund under a research collaboration agreement associated with a prior acquisition. This funding will be based on a percentage of annual revenue through April 2031, unless satisfied earlier, and no related funding has occurred to date.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anticipate capital expenditures, net of tenant improvement allowances, of approximately $10,000 to $15,000 during the remainder of 2024 related to certain expansion projects across our retail operations and at our cultivation facilities, in addition to other enhancements and general maintenance activities across our portfolio.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 Management expects to fund capital expenditures primarily by utilizing cash flows from operations.</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our construction in progress (“CIP”) balance was $3,329 and relates to capital spending on projects that were not yet complete. This balance includes amounts related to certain expansion projects at our Massachusetts, Illinois, and New Jersey cultivation facilities and other projects across our dispensaries and cultivation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September 30, 2024, there were 10,729 shares of Class A common stock available for grant for future awards under the Amended 2021 Plan.</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a total of 12,110 RSUs under the Amended 2021 Plan and a total of 7,359 granted are unvested as of September 30, 2024. Total unrecognized compensation cost related to the RSUs was $8,154 as of September 30, 2024, which is expected to be recognized over a weighted-average remaining period of 2.8 years.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 total of 3,346 stock option awards are outstanding under the Amended 2021 Plan, of which 2,212 are exercisable. No options were granted during the nine months ended September 30, 2024 and a total of 206 were exercised. As of September 30, 2024, the outstanding options have a remaining weighted-average contractual life of 3.2 years and total unrecognized compensation cost related to unvested options was $742, which is expected to be recognized over a weighted-average remaining period of 2.0 years.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a net benefit of $359 from the forfeiture of certain unvested awards within “General and administrative expenses” on the unaudited Condensed Consolidated Statements of Operations in the Financial Statements and recognized $230 of expense within “Cost of goods sold.” During the nine months ended September 30, 2024, the Company recognized $9,289 of expense within “General and administrative expenses” and $6,777 within “Cost of goods sold.” During the three and nine months ended September 30, 2023, the Company recognized $3,134 and $8,287, respectively, of expense within “General and administrative expenses” and recognized $2,476 and $4,457, respectively, within “Cost of goods sold.”</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an employee stock purchase plan (the “2021 ESPP”), pursuant to which 4,000 shares of Class A common stock are reserved for issuance thereunder, subject to certain adjustments and other terms. As of September 30, 2024, no shares have been issued under the 2021 ESPP.</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13, “Equity-Based Compensation Expense,” in the Financial Statements for additional information regarding the Company’s equity awards and equity-based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Lease-Related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10, “Leases,” in the Financial Statements for information regarding the Company’s leases and lease-related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Receivable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original maturity date of August 1, 2026, required monthly repayments equal to 10.0% of the outstanding balance (including paid-in-kind interest), and could be prepaid subject to a customary make-whole payment or prepayment penalty, as applicable. Mandatory prepayments were required from the proceeds of certain events. The Maryland Loan Agreement provided for a base interest rate of 12.0% plus LIBOR (LIBOR floor of 1.0%) and a paid-in-kind interest rate of 4.5%. Following the replacement of LIBOR, effective July 1, 2023, the LIBOR component of the interest rate transitioned to the secured overnight financing rate (“SOFR”) plus an alternative reference rate committee (“ARRC”) standard adjustment.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including non-payment, and provided an acceleration notice during the second quarter of 2023 that declared all amounts due and payable. As such, during the year ended December 31, 2023 the Company established a reserve of $1,804 for potential collectability.</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The Company recorded this receivable net of an initial discount of $984 that is included within “General and administrative expenses” on the unaudited Condensed Consolidated Statements of Operations in the Financial Statements for the nine months ended September 30, 2024 and within “Other” on the unaudited Condensed Consolidated Statements of Cash Flows. This discount was calculated utilizing the Company’s estimated incremental borrowing rate as of the agreement date and will be accreted to interest income over the agreement term. The total settlement value, excluding the discount, approximated the obligations outstanding under the Maryland Loan Receivable, including $2,859 of past due interest that was outstanding as of December 31, 2023 and was included within “Other current assets” on the unaudited Condensed Consolidated Balance Sheet as of that date.</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total of $500 of inventory was supplied under this agreement during the nine months ended September 30, 2024. During the three months ended September 30, 2024, the Company established a reserve of $2,083 on the remaining receivable due to collection risk. This reserve was recognized within “General and administrative expenses” on the unaudited Condensed Consolidated Statements of Operations for the three and nine months ended September 30, 2024 and within “Other” on the unaudited Condensed Consolidated Statements of Cash Flows. As of September 30, 2024, $1,000 of the remaining receivable is included within “Other current assets” and $1,543 is included within “Other noncurrent assets” on the unaudited Condensed Consolidated Balance Sheet, which balances are net of $1,000 and $1,083, respectively, associated with this reserve.</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6, “Notes Receivable,” in the Financial Statements for additional information regarding the Maryland Loan Receivable and the Company’s other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appointed April 25, 2024 as the deadline for MedMen to obtain new counsel, which, as of the date of filing of this Form 10-Q, had not occurred.</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following the Company’s decision to no longer consummate the contemplated transactions, the Company established an estimated reserve of $3,700 related to the amounts that it has been actively pursuing collecting. The estimated reserve as of December 31, 2023 is included within “Other current assets” on the unaudited Condensed Consolidated Balance Sheet in the Financial Statements. During the nine months ended September 30, 2024, the Company increased the estimated reserve by $5,447, which is included within “General and administrative expenses” on the unaudited Condensed Consolidated Statements of Operations and within “Other” on the unaudited Condensed Consolidated Statements of Cash Flows. The total reserve as of September 30, 2024 is reflective of all outstanding balances and of which $2,422 is included within “Notes receivable” on the unaudited Condensed Consolidated Balance Sheet, $6,695 is included within “Other current assets,” and the remainder is included within “Other noncurrent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In February 2024, the TVP Parties notified the Company that they were exercising the Put Option and the transfer was completed in May 2024, at which time the Escrow Units were released to the TVP Parties and the TVP Parties transferred to the Company the equity interests of the entities that hold three real estate properties. The underlying properties were determined to have a total fair value of $5,400 as of the settlement date, which was included within “Other noncurrent assets” on the unaudited Condensed Consolidated Balance Sheet in the Financial Statements as of December 31, 2023 and was reclassified to “Property and equipment, net” as of the transfer date. Prior to the completion of the transfer, the Company operated dispensaries at these locations pursuant to lease agreements, which operations will continue at the now-owned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except as disclosed in Note 2, “Basis of Presentation and Significant Accounting Policies,” in the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about recently issued accounting standards that have not yet been adopted, see Note 2, “Basis of Presentation and Significant Accounting Policies,” to the Financial Statements.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September 30, 2024 and December 31, 2023, as well as a net loss for the nine months ended September 30, 2024 and 2023,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discussion of our litigation matters occurring in the period covered by this report is found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“Commitments and Contingencies,” to the Financial Statements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set forth below, as of the date of this filing, there have been no material changes in our risk factors from those disclosed in our Annual Report on Form 10-K for the year ended December 31, 2023, in response to Item 1A., “Risk Factors,” of Part I of the Annual Report.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U.S. tax provisions related to controlled substances.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Limits on U.S. deductibility of certain expenses may have a material adverse effect on our financial condition, results of operations and cash flows. Section 280E (“Section 280E”) of the Internal Revenue Code of 1986, as amended, prohibits businesses from deducting certain expenses associated with the trafficking of controlled substances (within the meaning of Schedule I and II of the Controlled Substances Act (21 U.S.C. § 811) (the “CSA”)). The Internal Revenue Service (“IRS”) has applied Section 280E broadly in tax audits against various cannabis businesses in the U.S. that are permitted under applicable state laws, seeking substantial sums in tax liabilities, interest, and penalties resulting from the underpayment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filed amended tax returns with the IRS on behalf of itself and its subsidiaries claiming refunds of tax for 2020 and 2021 and a refund and/or reduction of tax for 2022 which had been incurred as a result of the application of Section 280E based on a legal interpretation that Section 280E does not apply to solely intrastate cannabis-related business activities. The Company intends to continue to take this position for the 2023 filing year. There is no guarantee that the IRS will not challenge our refund request and prevail in such challenge.</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We, therefore, analyze and consider the appropriateness of recording reserves for unrecognized tax benefits each quarter.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21, 2024, the United States Department of Justice published a notice of proposed rulemaking with the Federal Register to initiate a formal rulemaking process to consider rescheduling cannabis under the CSA. In June 2024, the IRS issued a press release stating that, until a final rule is published, cannabis remains a Schedule I controlled substance and is subject to the limitations of Section 280E. In this press release, the IRS also announced that taxpayers seeking a refund of taxes paid related to Section 280E by filing amended returns are not entitled to a refund or payment and that it is taking steps to address these claims. From time to time, the Company receives notices from various local, state, and federal tax agencies in the normal course of business. The Company is currently engaged with certain state and federal departments of revenue in respect to certain of the Company’s income tax returns that have been selected for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sales of unregistered securities during the quarter ended September 30, 2024, and from the period from October 1, 2024 to the filing date of this report, which have not been previously disclosed in a prior Quarterly Report on Form 10-Q or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7, 2024, the board of directors (the “Board”) of the Company, upon recommendation of the compensation and corporate governance committee of the Board, approved the acceleration of all of the unvested and outstanding equity held by Roman Nemchenko, Chief Financial Officer of the Company, as of August 26, 2024, granted pursuant to the Company’s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 INDEX</w:t>
      </w:r>
    </w:p>
    <w:p>
      <w:pPr>
        <w:spacing w:after="0" w:line="164" w:lineRule="exact"/>
        <w:rPr>
          <w:sz w:val="20"/>
          <w:szCs w:val="20"/>
          <w:color w:val="auto"/>
        </w:rPr>
      </w:pPr>
    </w:p>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00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4.3</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4.4</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10.2*†#</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10.3*†#</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31.1*</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31.2*</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101.INS*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101.CAL*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900" w:type="dxa"/>
            <w:vAlign w:val="bottom"/>
            <w:gridSpan w:val="15"/>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172"/>
        </w:trPr>
        <w:tc>
          <w:tcPr>
            <w:tcW w:w="4800" w:type="dxa"/>
            <w:vAlign w:val="bottom"/>
            <w:tcBorders>
              <w:top w:val="single" w:sz="8" w:color="auto"/>
            </w:tcBorders>
            <w:gridSpan w:val="14"/>
          </w:tcPr>
          <w:p>
            <w:pPr>
              <w:spacing w:after="0" w:line="17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Certificate of Incorporation</w:t>
              </w:r>
            </w:hyperlink>
          </w:p>
        </w:tc>
        <w:tc>
          <w:tcPr>
            <w:tcW w:w="100" w:type="dxa"/>
            <w:vAlign w:val="bottom"/>
          </w:tcPr>
          <w:p>
            <w:pPr>
              <w:spacing w:after="0"/>
              <w:rPr>
                <w:sz w:val="14"/>
                <w:szCs w:val="14"/>
                <w:color w:val="auto"/>
              </w:rPr>
            </w:pPr>
          </w:p>
        </w:tc>
        <w:tc>
          <w:tcPr>
            <w:tcW w:w="96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S-1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50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Bylaws</w:t>
              </w:r>
            </w:hyperlink>
          </w:p>
        </w:tc>
        <w:tc>
          <w:tcPr>
            <w:tcW w:w="1280" w:type="dxa"/>
            <w:vAlign w:val="bottom"/>
            <w:tcBorders>
              <w:top w:val="single" w:sz="8" w:color="0000FF"/>
            </w:tcBorders>
          </w:tcPr>
          <w:p>
            <w:pPr>
              <w:spacing w:after="0"/>
              <w:rPr>
                <w:sz w:val="19"/>
                <w:szCs w:val="19"/>
                <w:color w:val="auto"/>
              </w:rPr>
            </w:pPr>
          </w:p>
        </w:tc>
        <w:tc>
          <w:tcPr>
            <w:tcW w:w="3120" w:type="dxa"/>
            <w:vAlign w:val="bottom"/>
            <w:gridSpan w:val="13"/>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4900" w:type="dxa"/>
            <w:vAlign w:val="bottom"/>
            <w:gridSpan w:val="15"/>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Specimen Stock Certificate evidencing the shares of common stock</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223"/>
        </w:trPr>
        <w:tc>
          <w:tcPr>
            <w:tcW w:w="26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Form of Registration Rights Agreement</w:t>
              </w:r>
            </w:hyperlink>
          </w:p>
        </w:tc>
        <w:tc>
          <w:tcPr>
            <w:tcW w:w="1780" w:type="dxa"/>
            <w:vAlign w:val="bottom"/>
            <w:tcBorders>
              <w:top w:val="single" w:sz="8" w:color="0000FF"/>
            </w:tcBorders>
            <w:gridSpan w:val="7"/>
          </w:tcPr>
          <w:p>
            <w:pPr>
              <w:spacing w:after="0"/>
              <w:rPr>
                <w:sz w:val="19"/>
                <w:szCs w:val="19"/>
                <w:color w:val="auto"/>
              </w:rPr>
            </w:pPr>
          </w:p>
        </w:tc>
        <w:tc>
          <w:tcPr>
            <w:tcW w:w="520" w:type="dxa"/>
            <w:vAlign w:val="bottom"/>
            <w:gridSpan w:val="5"/>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4900" w:type="dxa"/>
            <w:vAlign w:val="bottom"/>
            <w:gridSpan w:val="15"/>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Form of Warrant Agreement between Ascend Wellness Holdings, Inc.</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15, 2022</w:t>
            </w:r>
          </w:p>
        </w:tc>
      </w:tr>
      <w:tr>
        <w:trPr>
          <w:trHeight w:val="142"/>
        </w:trPr>
        <w:tc>
          <w:tcPr>
            <w:tcW w:w="338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and each of the several lenders, dated June 30, 2022</w:t>
              </w:r>
            </w:hyperlink>
          </w:p>
        </w:tc>
        <w:tc>
          <w:tcPr>
            <w:tcW w:w="1160" w:type="dxa"/>
            <w:vAlign w:val="bottom"/>
            <w:tcBorders>
              <w:top w:val="single" w:sz="8" w:color="0000FF"/>
            </w:tcBorders>
            <w:gridSpan w:val="7"/>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96"/>
        </w:trPr>
        <w:tc>
          <w:tcPr>
            <w:tcW w:w="4900" w:type="dxa"/>
            <w:vAlign w:val="bottom"/>
            <w:gridSpan w:val="15"/>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Indenture dated July 16, 2024 by and between Ascend Wellness</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28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Holdings, Inc. and Odyssey Trust Company</w:t>
              </w:r>
            </w:hyperlink>
          </w:p>
        </w:tc>
        <w:tc>
          <w:tcPr>
            <w:tcW w:w="128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96"/>
        </w:trPr>
        <w:tc>
          <w:tcPr>
            <w:tcW w:w="4900" w:type="dxa"/>
            <w:vAlign w:val="bottom"/>
            <w:gridSpan w:val="15"/>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Guaranty dated July 16, 2024 by and between Chicago Alternative</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432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w w:val="99"/>
              </w:rPr>
            </w:pPr>
            <w:hyperlink r:id="rId118">
              <w:r>
                <w:rPr>
                  <w:rFonts w:ascii="Times New Roman" w:cs="Times New Roman" w:eastAsia="Times New Roman" w:hAnsi="Times New Roman"/>
                  <w:sz w:val="16"/>
                  <w:szCs w:val="16"/>
                  <w:color w:val="0000FF"/>
                  <w:w w:val="99"/>
                </w:rPr>
                <w:t>Health Center, LLC, HealthCentral, LLC, MOCA LLC, Revolution</w:t>
              </w:r>
            </w:hyperlink>
          </w:p>
        </w:tc>
        <w:tc>
          <w:tcPr>
            <w:tcW w:w="6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4380" w:type="dxa"/>
            <w:vAlign w:val="bottom"/>
            <w:gridSpan w:val="10"/>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Cannabis-Barry, LLC, The Homecoming Group, LLC, Ascend</w:t>
              </w:r>
            </w:hyperlink>
          </w:p>
        </w:tc>
        <w:tc>
          <w:tcPr>
            <w:tcW w:w="6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408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Maryland, LLC, Ascend Mass, LLC, MassGrow, LLC, FPAW</w:t>
              </w:r>
            </w:hyperlink>
          </w:p>
        </w:tc>
        <w:tc>
          <w:tcPr>
            <w:tcW w:w="820" w:type="dxa"/>
            <w:vAlign w:val="bottom"/>
            <w:gridSpan w:val="9"/>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Michigan</w:t>
              </w:r>
            </w:hyperlink>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470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LLC, Ascend New Jersey, LLC, BCCO, LLC, Ohio Cannabis Clinic</w:t>
              </w:r>
            </w:hyperlink>
          </w:p>
        </w:tc>
        <w:tc>
          <w:tcPr>
            <w:tcW w:w="20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41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LLC, and Story of PA CR, LLC (collectively, the “Guarantors”)</w:t>
              </w:r>
            </w:hyperlink>
          </w:p>
        </w:tc>
        <w:tc>
          <w:tcPr>
            <w:tcW w:w="280" w:type="dxa"/>
            <w:vAlign w:val="bottom"/>
            <w:tcBorders>
              <w:top w:val="single" w:sz="8" w:color="0000FF"/>
            </w:tcBorders>
            <w:gridSpan w:val="3"/>
          </w:tcPr>
          <w:p>
            <w:pPr>
              <w:spacing w:after="0"/>
              <w:rPr>
                <w:sz w:val="12"/>
                <w:szCs w:val="12"/>
                <w:color w:val="auto"/>
              </w:rPr>
            </w:pPr>
          </w:p>
        </w:tc>
        <w:tc>
          <w:tcPr>
            <w:tcW w:w="460" w:type="dxa"/>
            <w:vAlign w:val="bottom"/>
            <w:gridSpan w:val="4"/>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0"/>
        </w:trPr>
        <w:tc>
          <w:tcPr>
            <w:tcW w:w="4900" w:type="dxa"/>
            <w:vAlign w:val="bottom"/>
            <w:gridSpan w:val="15"/>
          </w:tcPr>
          <w:p>
            <w:pPr>
              <w:spacing w:after="0"/>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Pledge and Security Agreement dated July 16, 2024 by and between</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-1553845</wp:posOffset>
            </wp:positionV>
            <wp:extent cx="710628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-1245235</wp:posOffset>
            </wp:positionV>
            <wp:extent cx="7106285"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-765175</wp:posOffset>
            </wp:positionV>
            <wp:extent cx="7106285" cy="651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06285" cy="65151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-1870710</wp:posOffset>
            </wp:positionV>
            <wp:extent cx="710628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11"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Ascend Wellness Holdings, Inc., and Revolution Cannabis-Barry, LLC,</w:t>
        </w:r>
      </w:hyperlink>
    </w:p>
    <w:p>
      <w:pPr>
        <w:spacing w:after="0" w:line="211"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Chicago Alternative Health Center, LLC, MOCA LLC, Healthcentral,</w:t>
        </w:r>
      </w:hyperlink>
    </w:p>
    <w:p>
      <w:pPr>
        <w:spacing w:after="0" w:line="211"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LLC, The Homecoming Group, LLC, Ascend Mass, LLC, Massgrow,</w:t>
        </w:r>
      </w:hyperlink>
    </w:p>
    <w:p>
      <w:pPr>
        <w:spacing w:after="0" w:line="212"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LLC, FPAW Michigan, LLC, BCCO, LLC, Ohio Cannabis Clinic LLC,</w:t>
        </w:r>
      </w:hyperlink>
    </w:p>
    <w:p>
      <w:pPr>
        <w:spacing w:after="0" w:line="211"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Ascend New Jersey, LLC, Story Of PA CR, LLC, Ascend Maryland,</w:t>
        </w:r>
      </w:hyperlink>
    </w:p>
    <w:p>
      <w:pPr>
        <w:spacing w:after="0" w:line="211"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LLC, Ascend Mass, Inc., Ascend Illinois Holdings, LLC, Ascend</w:t>
        </w:r>
      </w:hyperlink>
    </w:p>
    <w:p>
      <w:pPr>
        <w:spacing w:after="0" w:line="212"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Illinois, LLC, Massgrow, Inc., AWH Pennsylvania, LLC, FPAW</w:t>
        </w:r>
      </w:hyperlink>
    </w:p>
    <w:p>
      <w:pPr>
        <w:spacing w:after="0" w:line="211"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Michigan 2, Inc., as the initial grantors (collectively, the “Initial</w:t>
        </w:r>
      </w:hyperlink>
    </w:p>
    <w:p>
      <w:pPr>
        <w:spacing w:after="0"/>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Grantors”), and Odyssey Trust Company</w:t>
        </w:r>
      </w:hyperlink>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Employment Agreement between Ascend Wellness Holdings,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Samuel Brill, dated as of August 26,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Employment Agreement between Ascend Wellness Holdings, Inc. and</w:t>
      </w:r>
    </w:p>
    <w:p>
      <w:pPr>
        <w:spacing w:after="0"/>
        <w:rPr>
          <w:sz w:val="20"/>
          <w:szCs w:val="20"/>
          <w:color w:val="auto"/>
        </w:rPr>
      </w:pPr>
      <w:r>
        <w:rPr>
          <w:rFonts w:ascii="Times New Roman" w:cs="Times New Roman" w:eastAsia="Times New Roman" w:hAnsi="Times New Roman"/>
          <w:sz w:val="16"/>
          <w:szCs w:val="16"/>
          <w:u w:val="single" w:color="auto"/>
          <w:color w:val="0000FF"/>
        </w:rPr>
        <w:t>Francis Perullo, dated as of August 26,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Employment Agreement between Ascend Wellness Holdings,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Roman Nemchenko, dated as of August 26,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Executive Officer under</w:t>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Financial Officer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and Principal Financial</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Officer Pursuant to 18 U.S.C. Section 1350 as Adopted Pursuant to</w:t>
      </w:r>
    </w:p>
    <w:p>
      <w:pPr>
        <w:spacing w:after="0"/>
        <w:rPr>
          <w:sz w:val="20"/>
          <w:szCs w:val="20"/>
          <w:color w:val="auto"/>
        </w:rPr>
      </w:pPr>
      <w:r>
        <w:rPr>
          <w:rFonts w:ascii="Times New Roman" w:cs="Times New Roman" w:eastAsia="Times New Roman" w:hAnsi="Times New Roman"/>
          <w:sz w:val="16"/>
          <w:szCs w:val="16"/>
          <w:u w:val="single" w:color="auto"/>
          <w:color w:val="0000FF"/>
        </w:rPr>
        <w:t>Section 906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color w:val="auto"/>
        </w:rPr>
        <w:t>in the Interactive Data File because its XBRL tags are embedded within</w:t>
      </w:r>
    </w:p>
    <w:p>
      <w:pPr>
        <w:spacing w:after="0"/>
        <w:rPr>
          <w:sz w:val="20"/>
          <w:szCs w:val="20"/>
          <w:color w:val="auto"/>
        </w:rPr>
      </w:pPr>
      <w:r>
        <w:rPr>
          <w:rFonts w:ascii="Times New Roman" w:cs="Times New Roman" w:eastAsia="Times New Roman" w:hAnsi="Times New Roman"/>
          <w:sz w:val="16"/>
          <w:szCs w:val="16"/>
          <w:color w:val="auto"/>
        </w:rPr>
        <w:t>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-116205</wp:posOffset>
            </wp:positionV>
            <wp:extent cx="710628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0" w:space="480"/>
            <w:col w:w="99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8" w:name="page69"/>
    <w:bookmarkEnd w:id="68"/>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w:t>
      </w:r>
    </w:p>
    <w:p>
      <w:pPr>
        <w:spacing w:after="0" w:line="36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-116205</wp:posOffset>
            </wp:positionV>
            <wp:extent cx="710628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-113665</wp:posOffset>
            </wp:positionV>
            <wp:extent cx="7106285"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contained in Exhibit 101)</w:t>
      </w:r>
    </w:p>
    <w:p>
      <w:pPr>
        <w:spacing w:after="0" w:line="464" w:lineRule="exact"/>
        <w:rPr>
          <w:sz w:val="20"/>
          <w:szCs w:val="20"/>
          <w:color w:val="auto"/>
        </w:rPr>
      </w:pPr>
    </w:p>
    <w:p>
      <w:pPr>
        <w:sectPr>
          <w:pgSz w:w="11900" w:h="16838" w:orient="portrait"/>
          <w:cols w:equalWidth="0" w:num="2">
            <w:col w:w="1100" w:space="240"/>
            <w:col w:w="9900"/>
          </w:cols>
          <w:pgMar w:left="320" w:top="1440" w:right="339" w:bottom="1440" w:gutter="0" w:footer="0" w:header="0"/>
        </w:sect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 contract, or arrangement.</w:t>
      </w:r>
    </w:p>
    <w:p>
      <w:pPr>
        <w:spacing w:after="0" w:line="123" w:lineRule="exact"/>
        <w:rPr>
          <w:sz w:val="20"/>
          <w:szCs w:val="20"/>
          <w:color w:val="auto"/>
        </w:rPr>
      </w:pPr>
    </w:p>
    <w:p>
      <w:pPr>
        <w:ind w:left="340" w:hanging="332"/>
        <w:spacing w:after="0" w:line="302" w:lineRule="auto"/>
        <w:tabs>
          <w:tab w:leader="none" w:pos="24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54" w:lineRule="exact"/>
        <w:rPr>
          <w:sz w:val="20"/>
          <w:szCs w:val="20"/>
          <w:color w:val="auto"/>
        </w:rPr>
      </w:pPr>
    </w:p>
    <w:p>
      <w:pPr>
        <w:ind w:left="340" w:hanging="332"/>
        <w:spacing w:after="0" w:line="302" w:lineRule="auto"/>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in compliance with Regulation S-K Item 601(a)(5) or certain personal information has been redacted from this exhibit pursuant to Item 601(a)(6) of Regulation S-K.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9" w:name="page70"/>
    <w:bookmarkEnd w:id="6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Ascend Wellness Holdings, Inc.</w:t>
            </w:r>
          </w:p>
        </w:tc>
      </w:tr>
      <w:tr>
        <w:trPr>
          <w:trHeight w:val="621"/>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32"/>
        </w:trPr>
        <w:tc>
          <w:tcPr>
            <w:tcW w:w="1440" w:type="dxa"/>
            <w:vAlign w:val="bottom"/>
            <w:tcBorders>
              <w:top w:val="single" w:sz="8" w:color="auto"/>
            </w:tcBorders>
          </w:tcPr>
          <w:p>
            <w:pPr>
              <w:spacing w:after="0"/>
              <w:rPr>
                <w:sz w:val="20"/>
                <w:szCs w:val="20"/>
                <w:color w:val="auto"/>
              </w:rPr>
            </w:pPr>
          </w:p>
        </w:tc>
        <w:tc>
          <w:tcPr>
            <w:tcW w:w="52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Samuel Brill</w:t>
            </w:r>
          </w:p>
        </w:tc>
        <w:tc>
          <w:tcPr>
            <w:tcW w:w="1260" w:type="dxa"/>
            <w:vAlign w:val="bottom"/>
            <w:gridSpan w:val="2"/>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32"/>
        </w:trPr>
        <w:tc>
          <w:tcPr>
            <w:tcW w:w="1440" w:type="dxa"/>
            <w:vAlign w:val="bottom"/>
            <w:tcBorders>
              <w:top w:val="single" w:sz="8" w:color="auto"/>
            </w:tcBorders>
          </w:tcPr>
          <w:p>
            <w:pPr>
              <w:spacing w:after="0"/>
              <w:rPr>
                <w:sz w:val="20"/>
                <w:szCs w:val="20"/>
                <w:color w:val="auto"/>
              </w:rPr>
            </w:pPr>
          </w:p>
        </w:tc>
        <w:tc>
          <w:tcPr>
            <w:tcW w:w="5240" w:type="dxa"/>
            <w:vAlign w:val="bottom"/>
          </w:tcPr>
          <w:p>
            <w:pPr>
              <w:spacing w:after="0"/>
              <w:rPr>
                <w:sz w:val="20"/>
                <w:szCs w:val="20"/>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Roman Nemchenko</w:t>
            </w:r>
          </w:p>
        </w:tc>
        <w:tc>
          <w:tcPr>
            <w:tcW w:w="7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240"/>
          </w:cols>
          <w:pgMar w:left="320" w:top="144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193" w:lineRule="exact"/>
        <w:rPr>
          <w:sz w:val="20"/>
          <w:szCs w:val="20"/>
          <w:color w:val="auto"/>
        </w:rPr>
      </w:pPr>
    </w:p>
    <w:p>
      <w:pPr>
        <w:jc w:val="both"/>
        <w:ind w:firstLine="746"/>
        <w:spacing w:after="0" w:line="215" w:lineRule="auto"/>
        <w:rPr>
          <w:sz w:val="20"/>
          <w:szCs w:val="20"/>
          <w:color w:val="auto"/>
        </w:rPr>
      </w:pPr>
      <w:r>
        <w:rPr>
          <w:rFonts w:ascii="Times New Roman" w:cs="Times New Roman" w:eastAsia="Times New Roman" w:hAnsi="Times New Roman"/>
          <w:sz w:val="20"/>
          <w:szCs w:val="20"/>
          <w:color w:val="auto"/>
        </w:rPr>
        <w:t>This Employment Agreement (this “Agreement”) dated as of August 26, 2024 (the “Effective Date”) is made and entered into by and between Ascend Wellness Holdings, Inc., a Delaware corporation with a principal place of business at 44 Whippany Road, Suite 101,</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Morristown, NJ 07960 (the “Company”), and Samuel Brill, an individual whose principal business address is in care of the Company at 44 Whippany Road, Suite 101, Morristown, NJ 07960 (the “Executive”).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89" w:lineRule="exact"/>
        <w:rPr>
          <w:sz w:val="20"/>
          <w:szCs w:val="20"/>
          <w:color w:val="auto"/>
        </w:rPr>
      </w:pPr>
    </w:p>
    <w:p>
      <w:pPr>
        <w:ind w:right="20" w:firstLine="746"/>
        <w:spacing w:after="0"/>
        <w:rPr>
          <w:sz w:val="20"/>
          <w:szCs w:val="20"/>
          <w:color w:val="auto"/>
        </w:rPr>
      </w:pPr>
      <w:r>
        <w:rPr>
          <w:rFonts w:ascii="Times New Roman" w:cs="Times New Roman" w:eastAsia="Times New Roman" w:hAnsi="Times New Roman"/>
          <w:sz w:val="20"/>
          <w:szCs w:val="20"/>
          <w:color w:val="auto"/>
        </w:rPr>
        <w:t>WHEREAS, the parties desire to memorialize the terms of the Executive’s employment as Chief Executive Officer, on the terms and conditions hereinafter set forth.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189" w:lineRule="exact"/>
        <w:rPr>
          <w:sz w:val="20"/>
          <w:szCs w:val="20"/>
          <w:color w:val="auto"/>
        </w:rPr>
      </w:pPr>
    </w:p>
    <w:p>
      <w:pPr>
        <w:ind w:firstLine="747"/>
        <w:spacing w:after="0"/>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w:t>
      </w:r>
    </w:p>
    <w:p>
      <w:pPr>
        <w:spacing w:after="0" w:line="94" w:lineRule="exact"/>
        <w:rPr>
          <w:sz w:val="20"/>
          <w:szCs w:val="20"/>
          <w:color w:val="auto"/>
        </w:rPr>
      </w:pPr>
    </w:p>
    <w:p>
      <w:pPr>
        <w:ind w:firstLine="656"/>
        <w:spacing w:after="0" w:line="266" w:lineRule="auto"/>
        <w:tabs>
          <w:tab w:leader="none" w:pos="129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w:t>
      </w:r>
      <w:r>
        <w:rPr>
          <w:rFonts w:ascii="Times New Roman" w:cs="Times New Roman" w:eastAsia="Times New Roman" w:hAnsi="Times New Roman"/>
          <w:sz w:val="19"/>
          <w:szCs w:val="19"/>
          <w:color w:val="auto"/>
        </w:rPr>
        <w:t>. Subject to the terms and conditions set forth in this Agreement, the Company hereby offers, and the Executive hereby accepts, employment as Chief Executive Officer of the Company, commencing August 26, 2024 (the “Commencement Date”).</w:t>
      </w:r>
    </w:p>
    <w:p>
      <w:pPr>
        <w:spacing w:after="0" w:line="82" w:lineRule="exact"/>
        <w:rPr>
          <w:rFonts w:ascii="Times New Roman" w:cs="Times New Roman" w:eastAsia="Times New Roman" w:hAnsi="Times New Roman"/>
          <w:sz w:val="19"/>
          <w:szCs w:val="19"/>
          <w:color w:val="auto"/>
        </w:rPr>
      </w:pPr>
    </w:p>
    <w:p>
      <w:pPr>
        <w:jc w:val="both"/>
        <w:ind w:firstLine="656"/>
        <w:spacing w:after="0" w:line="213"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Then At Will</w:t>
      </w:r>
      <w:r>
        <w:rPr>
          <w:rFonts w:ascii="Times New Roman" w:cs="Times New Roman" w:eastAsia="Times New Roman" w:hAnsi="Times New Roman"/>
          <w:sz w:val="20"/>
          <w:szCs w:val="20"/>
          <w:color w:val="auto"/>
        </w:rPr>
        <w:t>. The Executive’s initial term of employment under this Agreement (the “Initial Term”) will commence on the date hereof and continue for a period of eighteen (18) months thereafter, unless earlier terminated as provided herein. Upon expiration of the Initial Term, the employment term shall automatically continue on an at will basis (such continuation period referred to as the “At Will Period”). During the At Will Period, the Executive shall be an employee at will and nothing in this Agreement is intended to change that status in any way. As a result, during the At Will Period, the Executive and/or the Company can terminate the employment relationship at any time. The parties agree, however, that if the Company terminates the employment relationship without Cause or the employee resigns for Good Reason (as each term is defined herein), during either the Initial Term or during the At Will Period, then the Executive shall be eligible to receive the Severance Benefits as defined in Section 5.</w:t>
      </w:r>
    </w:p>
    <w:p>
      <w:pPr>
        <w:spacing w:after="0" w:line="10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Capacity and Performance</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left="1620" w:hanging="316"/>
        <w:spacing w:after="0"/>
        <w:tabs>
          <w:tab w:leader="none" w:pos="160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Initial Term and At Will Period hereof, the Executive shall serve the Company as Chief Executive Officer, reporting directly to the Executive Chair and/or Chairman of the Board of Directors of the Company (the “Board”).</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22" w:lineRule="auto"/>
        <w:tabs>
          <w:tab w:leader="none" w:pos="16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Initial Term and At Will Period hereof, the Executive shall be employed by the Company on a full-time and diligent basis and shall perform such duties and responsibilities on behalf of the Company as are customarily performed by a Chief Executive Officer of a company of comparable size and as may be reasonably designated from time to time by the Board.</w:t>
      </w:r>
    </w:p>
    <w:p>
      <w:pPr>
        <w:spacing w:after="0" w:line="94" w:lineRule="exact"/>
        <w:rPr>
          <w:rFonts w:ascii="Times New Roman" w:cs="Times New Roman" w:eastAsia="Times New Roman" w:hAnsi="Times New Roman"/>
          <w:sz w:val="20"/>
          <w:szCs w:val="20"/>
          <w:color w:val="auto"/>
        </w:rPr>
      </w:pPr>
    </w:p>
    <w:p>
      <w:pPr>
        <w:jc w:val="both"/>
        <w:ind w:left="1620" w:hanging="316"/>
        <w:spacing w:after="0" w:line="230" w:lineRule="auto"/>
        <w:tabs>
          <w:tab w:leader="none" w:pos="160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or as soon as reasonably practicable after the Commencement Date, the Company will appoint the Executive to the Board. For so long as the Executive is employed as the Company’s Chief Executive Officer, the Company will nominate the Executive for re-election to the Board.</w:t>
      </w:r>
    </w:p>
    <w:p>
      <w:pPr>
        <w:spacing w:after="0" w:line="94" w:lineRule="exact"/>
        <w:rPr>
          <w:rFonts w:ascii="Times New Roman" w:cs="Times New Roman" w:eastAsia="Times New Roman" w:hAnsi="Times New Roman"/>
          <w:sz w:val="20"/>
          <w:szCs w:val="20"/>
          <w:color w:val="auto"/>
        </w:rPr>
      </w:pPr>
    </w:p>
    <w:p>
      <w:pPr>
        <w:jc w:val="both"/>
        <w:ind w:left="1620" w:hanging="316"/>
        <w:spacing w:after="0" w:line="215" w:lineRule="auto"/>
        <w:tabs>
          <w:tab w:leader="none" w:pos="16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Initial Term and At Will Period hereof, the Executive shall not, directly or indirectly, render any material services of a business, commercial or professional nature to any person or entity other than the Company (or any affiliate thereof), whether for compensation or otherwise, without the prior written consent of the Board, which shall not be unreasonably withheld. For the avoidance of doubt, notwithstanding the foregoing, the Executive may (i) engage in the activities set forth on Exhibit A hereto and (ii) engage in educational, charitable and civic activities so long as such activities (A) do not, individually or in the aggregate, interfere with the performance of the Executive’s duties under this Agreement and (B) are not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0" w:right="339" w:bottom="1440" w:gutter="0" w:footer="0" w:header="0"/>
        </w:sectPr>
      </w:pPr>
    </w:p>
    <w:bookmarkStart w:id="71" w:name="page72"/>
    <w:bookmarkEnd w:id="71"/>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color w:val="auto"/>
        </w:rPr>
        <w:t>to the interests of the Company or any of its affiliates or competitive with the Company or any of its affiliates. Executive</w:t>
      </w:r>
    </w:p>
    <w:p>
      <w:pPr>
        <w:spacing w:after="0" w:line="6" w:lineRule="exact"/>
        <w:rPr>
          <w:sz w:val="20"/>
          <w:szCs w:val="20"/>
          <w:color w:val="auto"/>
        </w:rPr>
      </w:pPr>
    </w:p>
    <w:p>
      <w:pPr>
        <w:jc w:val="both"/>
        <w:ind w:left="1620"/>
        <w:spacing w:after="0" w:line="204" w:lineRule="auto"/>
        <w:rPr>
          <w:sz w:val="20"/>
          <w:szCs w:val="20"/>
          <w:color w:val="auto"/>
        </w:rPr>
      </w:pPr>
      <w:r>
        <w:rPr>
          <w:rFonts w:ascii="Times New Roman" w:cs="Times New Roman" w:eastAsia="Times New Roman" w:hAnsi="Times New Roman"/>
          <w:sz w:val="20"/>
          <w:szCs w:val="20"/>
          <w:color w:val="auto"/>
        </w:rPr>
        <w:t>may engage in personal investments without disclosure to or written approval from the Board provided Executive is not required or expected to serve as a board member, advisor or consultant in connection with such personal investment,</w:t>
      </w:r>
    </w:p>
    <w:p>
      <w:pPr>
        <w:ind w:left="1620"/>
        <w:spacing w:after="0" w:line="211" w:lineRule="auto"/>
        <w:rPr>
          <w:sz w:val="20"/>
          <w:szCs w:val="20"/>
          <w:color w:val="auto"/>
        </w:rPr>
      </w:pPr>
      <w:r>
        <w:rPr>
          <w:rFonts w:ascii="Times New Roman" w:cs="Times New Roman" w:eastAsia="Times New Roman" w:hAnsi="Times New Roman"/>
          <w:sz w:val="20"/>
          <w:szCs w:val="20"/>
          <w:color w:val="auto"/>
        </w:rPr>
        <w:t>Executive shall, at any time, own beneficially less than 5% of the outstanding securities of any issuer in such personal</w:t>
      </w:r>
    </w:p>
    <w:p>
      <w:pPr>
        <w:spacing w:after="0" w:line="1" w:lineRule="exact"/>
        <w:rPr>
          <w:sz w:val="20"/>
          <w:szCs w:val="20"/>
          <w:color w:val="auto"/>
        </w:rPr>
      </w:pPr>
    </w:p>
    <w:p>
      <w:pPr>
        <w:ind w:left="1620" w:right="20"/>
        <w:spacing w:after="0" w:line="221" w:lineRule="auto"/>
        <w:rPr>
          <w:sz w:val="20"/>
          <w:szCs w:val="20"/>
          <w:color w:val="auto"/>
        </w:rPr>
      </w:pPr>
      <w:r>
        <w:rPr>
          <w:rFonts w:ascii="Times New Roman" w:cs="Times New Roman" w:eastAsia="Times New Roman" w:hAnsi="Times New Roman"/>
          <w:sz w:val="20"/>
          <w:szCs w:val="20"/>
          <w:color w:val="auto"/>
        </w:rPr>
        <w:t>investment, and such personal investment shall not otherwise interfere with Executive’s performance of his duties hereunder.</w:t>
      </w:r>
    </w:p>
    <w:p>
      <w:pPr>
        <w:spacing w:after="0" w:line="108" w:lineRule="exact"/>
        <w:rPr>
          <w:sz w:val="20"/>
          <w:szCs w:val="20"/>
          <w:color w:val="auto"/>
        </w:rPr>
      </w:pPr>
    </w:p>
    <w:p>
      <w:pPr>
        <w:jc w:val="both"/>
        <w:ind w:firstLine="656"/>
        <w:spacing w:after="0" w:line="226" w:lineRule="auto"/>
        <w:tabs>
          <w:tab w:leader="none" w:pos="129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compensation for all services performed by the Executive under this Agreement and during the Initial Term and At Will Period hereof and subject to performance of the Executive’s duties and obligations to the Company pursuant to this Agreement:</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22" w:lineRule="auto"/>
        <w:tabs>
          <w:tab w:leader="none" w:pos="160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shall pay the Executive a base salary at the rate of $550,000 per annum (the “Base Salary”). The Executive’s base salary shall be payable in accordance with the payroll practices of the Company for its executives and subject to increase from time to time by the Board, in its sole discretion. The base salary set forth in this Section 4(a), as from time to time increased, is hereafter referred to as the “Base Salary.”</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21" w:lineRule="auto"/>
        <w:tabs>
          <w:tab w:leader="none" w:pos="162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Incentive Plan</w:t>
      </w:r>
      <w:r>
        <w:rPr>
          <w:rFonts w:ascii="Times New Roman" w:cs="Times New Roman" w:eastAsia="Times New Roman" w:hAnsi="Times New Roman"/>
          <w:sz w:val="19"/>
          <w:szCs w:val="19"/>
          <w:color w:val="auto"/>
        </w:rPr>
        <w:t>. For each complete fiscal year, the Executive shall be eligible to earn an annual performance-based bonus (the “Annual Bonus”). The Executive’s annual target bonus opportunity for each such fiscal year shall be based on the achievement of financial, operational, and strategic/individual objectives established by the Board, in its sole discretion. The terms of the Annual Bonus, including Executive’s financial, operational, and strategic/individual objectives, are subject to approval by the Board and/or its designees, and may be modified from time to time. All payouts are based on achieving such financial, operational, and strategic/individual objectives, are discretionary, and if such threshold performance objectives are not achieved for any fiscal year, then the Executive shall not receive an Annual Bonus for such fiscal year. For the 2024 fiscal year, if earned and subject to approval by the Board, Executive shall only be eligible for a prorated portion of any Annual Bonus earned (calculated as the Annual Bonus that would have been paid for a full fiscal year, multiplied by a fraction, the numerator of which is equal to the number of days the Executive worked for the Company in such fiscal year, and the denominator of which is equal to the total number of days in such fiscal year), with any such prorated Annual Bonus to be paid at the same time as others members of the Company receive payment of their Annual Bonus (the “Prorated Bonus”). Executive must be employed at the time of Annual Bonus grant and payout may be made via any method of payment determined by the Board to include equity and/or cash.</w:t>
      </w:r>
    </w:p>
    <w:p>
      <w:pPr>
        <w:spacing w:after="0" w:line="112" w:lineRule="exact"/>
        <w:rPr>
          <w:rFonts w:ascii="Times New Roman" w:cs="Times New Roman" w:eastAsia="Times New Roman" w:hAnsi="Times New Roman"/>
          <w:sz w:val="19"/>
          <w:szCs w:val="19"/>
          <w:color w:val="auto"/>
        </w:rPr>
      </w:pPr>
    </w:p>
    <w:p>
      <w:pPr>
        <w:jc w:val="both"/>
        <w:ind w:left="1620" w:hanging="316"/>
        <w:spacing w:after="0" w:line="211" w:lineRule="auto"/>
        <w:tabs>
          <w:tab w:leader="none" w:pos="160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Incentives</w:t>
      </w:r>
      <w:r>
        <w:rPr>
          <w:rFonts w:ascii="Times New Roman" w:cs="Times New Roman" w:eastAsia="Times New Roman" w:hAnsi="Times New Roman"/>
          <w:sz w:val="20"/>
          <w:szCs w:val="20"/>
          <w:color w:val="auto"/>
        </w:rPr>
        <w:t>. Subject to the approval of the Board, on or as soon as reasonably practicable after the Commencement Date, the Executive will be granted 5,000,000 Restricted Stock Units pursuant to and as defined in the Ascend Wellness Holdings, Inc. 2021 Stock Incentive Plan (the “Plan”) and subject to the terms and conditions of the applicable award agreement (“Initial RSU Grant). RSUs (the “Initial RSUs”) subject to the Initial RSU Grant will vest on the schedule set forth in this Section 4(c), or to the extent otherwise provided in either Section 4(d) or Section 5(d). 2,000,000 Initial RSUs will vest solely based on the passage of time and the Executive’s continued employment through the applicable vesting date (the “Time-Vesting Initial RSUs”), with 1,000,000 of such Time-Vesting Initial RSUs vesting immediately on December 31, 2024 and the remaining 1,000,000 of such Time-Vesting Initial RSUs vesting on December 31, 2025. Subject to the Executive’s continued employment through the applicable vesting date, the remaining 3,000,000 of the Initial RSUs (the “Performance-Based Initial RSUs”) will vest upon the achievement of the stock price performance condition (the “Stock Price Condition”) applicable to the following tranches of the Performance-Based Initial RSUs: (i) 1,000,000 Performance-Based Initial RSUs will vest at the end of any 60-day period after the Company’s stock price has reached $2.00 per share provided that it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at or above $2.00 per share for at least 30 days during this 60 day period; (ii) 1,000,000 Performance-Based Initial RSUs</w:t>
      </w:r>
    </w:p>
    <w:p>
      <w:pPr>
        <w:spacing w:after="0" w:line="6" w:lineRule="exact"/>
        <w:rPr>
          <w:sz w:val="20"/>
          <w:szCs w:val="20"/>
          <w:color w:val="auto"/>
        </w:rPr>
      </w:pPr>
    </w:p>
    <w:p>
      <w:pPr>
        <w:ind w:left="500" w:right="20"/>
        <w:spacing w:after="0" w:line="215" w:lineRule="auto"/>
        <w:rPr>
          <w:sz w:val="20"/>
          <w:szCs w:val="20"/>
          <w:color w:val="auto"/>
        </w:rPr>
      </w:pPr>
      <w:r>
        <w:rPr>
          <w:rFonts w:ascii="Times New Roman" w:cs="Times New Roman" w:eastAsia="Times New Roman" w:hAnsi="Times New Roman"/>
          <w:sz w:val="19"/>
          <w:szCs w:val="19"/>
          <w:color w:val="auto"/>
        </w:rPr>
        <w:t>will vest at the end of any 60-day period after the Company’s stock price has reached $2.50 per share provided that it remains at or above $2.50 per share for at least 30 days during this 60 day period; and (iii) 1,000,000 Performance-Based</w:t>
      </w:r>
    </w:p>
    <w:p>
      <w:pPr>
        <w:ind w:left="500"/>
        <w:spacing w:after="0" w:line="211" w:lineRule="auto"/>
        <w:rPr>
          <w:sz w:val="20"/>
          <w:szCs w:val="20"/>
          <w:color w:val="auto"/>
        </w:rPr>
      </w:pPr>
      <w:r>
        <w:rPr>
          <w:rFonts w:ascii="Times New Roman" w:cs="Times New Roman" w:eastAsia="Times New Roman" w:hAnsi="Times New Roman"/>
          <w:sz w:val="20"/>
          <w:szCs w:val="20"/>
          <w:color w:val="auto"/>
        </w:rPr>
        <w:t>Initial RSUs will vest at the end of any 60-day period after the Company’s stock price has reached $3.00 per share</w:t>
      </w:r>
    </w:p>
    <w:p>
      <w:pPr>
        <w:ind w:left="500"/>
        <w:spacing w:after="0" w:line="204" w:lineRule="auto"/>
        <w:rPr>
          <w:sz w:val="20"/>
          <w:szCs w:val="20"/>
          <w:color w:val="auto"/>
        </w:rPr>
      </w:pPr>
      <w:r>
        <w:rPr>
          <w:rFonts w:ascii="Times New Roman" w:cs="Times New Roman" w:eastAsia="Times New Roman" w:hAnsi="Times New Roman"/>
          <w:sz w:val="20"/>
          <w:szCs w:val="20"/>
          <w:color w:val="auto"/>
        </w:rPr>
        <w:t>provided that it remains at or above $3.00 per share for at least 30 days during this 60 day period. Executive shall be eligible to participate in the Company’s Long Term Incentive Program, starting in the 2025 fiscal year, the terms of</w:t>
      </w:r>
    </w:p>
    <w:p>
      <w:pPr>
        <w:ind w:left="500"/>
        <w:spacing w:after="0" w:line="223" w:lineRule="auto"/>
        <w:rPr>
          <w:sz w:val="20"/>
          <w:szCs w:val="20"/>
          <w:color w:val="auto"/>
        </w:rPr>
      </w:pPr>
      <w:r>
        <w:rPr>
          <w:rFonts w:ascii="Times New Roman" w:cs="Times New Roman" w:eastAsia="Times New Roman" w:hAnsi="Times New Roman"/>
          <w:sz w:val="19"/>
          <w:szCs w:val="19"/>
          <w:color w:val="auto"/>
        </w:rPr>
        <w:t>which are subject to the Board or its designee’s discretion from year to year. The Initial RSU Grant shall be subject to the</w:t>
      </w:r>
    </w:p>
    <w:p>
      <w:pPr>
        <w:ind w:left="500" w:right="20"/>
        <w:spacing w:after="0" w:line="221" w:lineRule="auto"/>
        <w:rPr>
          <w:sz w:val="20"/>
          <w:szCs w:val="20"/>
          <w:color w:val="auto"/>
        </w:rPr>
      </w:pPr>
      <w:r>
        <w:rPr>
          <w:rFonts w:ascii="Times New Roman" w:cs="Times New Roman" w:eastAsia="Times New Roman" w:hAnsi="Times New Roman"/>
          <w:sz w:val="20"/>
          <w:szCs w:val="20"/>
          <w:color w:val="auto"/>
        </w:rPr>
        <w:t>terms and conditions of the Plan. In the event of a conflict between the terms of this Agreement and the Plan, the Plan shall govern.</w:t>
      </w:r>
    </w:p>
    <w:p>
      <w:pPr>
        <w:spacing w:after="0" w:line="108" w:lineRule="exact"/>
        <w:rPr>
          <w:sz w:val="20"/>
          <w:szCs w:val="20"/>
          <w:color w:val="auto"/>
        </w:rPr>
      </w:pPr>
    </w:p>
    <w:p>
      <w:pPr>
        <w:jc w:val="both"/>
        <w:ind w:left="500" w:hanging="316"/>
        <w:spacing w:after="0" w:line="221" w:lineRule="auto"/>
        <w:tabs>
          <w:tab w:leader="none" w:pos="5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consummation of a Change of Control Event (as defined below), provided Executive is employed with the Company as of the Change of Control Event, and concurrent with the payment of any consideration to any other holders of capital stock of the Company in connection with such change of control, all Performance-Based Initial RSUs that are “in the money” with respect to such Change of Control Event (i.e., whereby the consideration per share of stock being paid to holders of capital stock of the Company under such Change of Control Event is equal to or greater than the Stock Price Condition applicable to such Performance-Based Initial RSUs) shall vest, notwithstanding the terms of any other agreement, the Plan, instrument or document to the contrary (including without limitation any vesting terms, performance criteria or other conditions, and regardless of whether entered into before or after the date of this Agreement). For purposes of this Agreement, “Change of Control Event” shall mean the consummation, after the Commencement Date, of (i) the sale of all or substantially all of the Company’s assets or at least a majority of voting power of the capital stock of the Company, (ii) any liquidation, dissolution or winding up of the Company, or (iii) the merger or consolidation of the Company with or into another entity, except a merger or consolidation in which the holders of capital stock of the Company immediately prior to such merger or consolidation continue to hold at least 50% of the voting power of the capital stock of the Company or the surviving or acquiring entity, as applicable; provided, however, that no event described in the foregoing clauses (i), (ii) and (iii) shall constitute a Change of Control Event for purposes of this Agreement unless it satisfies the requirements of Treasury Regulation Section 1.409A-3(i)(5)(v) or (vii).</w:t>
      </w:r>
    </w:p>
    <w:p>
      <w:pPr>
        <w:spacing w:after="0" w:line="102" w:lineRule="exact"/>
        <w:rPr>
          <w:rFonts w:ascii="Times New Roman" w:cs="Times New Roman" w:eastAsia="Times New Roman" w:hAnsi="Times New Roman"/>
          <w:sz w:val="19"/>
          <w:szCs w:val="19"/>
          <w:color w:val="auto"/>
        </w:rPr>
      </w:pPr>
    </w:p>
    <w:p>
      <w:pPr>
        <w:jc w:val="both"/>
        <w:ind w:left="500" w:hanging="316"/>
        <w:spacing w:after="0" w:line="230" w:lineRule="auto"/>
        <w:tabs>
          <w:tab w:leader="none" w:pos="48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During the Initial Term and At Will Period hereof, the Executive shall be entitled to vacation, personal days, sick time and similar paid time off benefits in accordance with the applicable policies of the Company, as in effect from time to time.</w:t>
      </w:r>
    </w:p>
    <w:p>
      <w:pPr>
        <w:spacing w:after="0" w:line="94" w:lineRule="exact"/>
        <w:rPr>
          <w:rFonts w:ascii="Times New Roman" w:cs="Times New Roman" w:eastAsia="Times New Roman" w:hAnsi="Times New Roman"/>
          <w:sz w:val="20"/>
          <w:szCs w:val="20"/>
          <w:color w:val="auto"/>
        </w:rPr>
      </w:pPr>
    </w:p>
    <w:p>
      <w:pPr>
        <w:jc w:val="both"/>
        <w:ind w:left="500" w:hanging="316"/>
        <w:spacing w:after="0" w:line="218" w:lineRule="auto"/>
        <w:tabs>
          <w:tab w:leader="none" w:pos="49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Benefits</w:t>
      </w:r>
      <w:r>
        <w:rPr>
          <w:rFonts w:ascii="Times New Roman" w:cs="Times New Roman" w:eastAsia="Times New Roman" w:hAnsi="Times New Roman"/>
          <w:sz w:val="20"/>
          <w:szCs w:val="20"/>
          <w:color w:val="auto"/>
        </w:rPr>
        <w:t>. During the Initial Term hereof and subject to any contribution therefor generally required of employees of the Company, the Executive shall be eligible to participate in any medical, dental and disability insurance plans maintained by the Company from time to time (collectively, the “Insurance Benefits”).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w:t>
      </w:r>
    </w:p>
    <w:p>
      <w:pPr>
        <w:spacing w:after="0" w:line="96" w:lineRule="exact"/>
        <w:rPr>
          <w:rFonts w:ascii="Times New Roman" w:cs="Times New Roman" w:eastAsia="Times New Roman" w:hAnsi="Times New Roman"/>
          <w:sz w:val="20"/>
          <w:szCs w:val="20"/>
          <w:color w:val="auto"/>
        </w:rPr>
      </w:pPr>
    </w:p>
    <w:p>
      <w:pPr>
        <w:jc w:val="both"/>
        <w:ind w:left="500" w:hanging="316"/>
        <w:spacing w:after="0" w:line="218" w:lineRule="auto"/>
        <w:tabs>
          <w:tab w:leader="none" w:pos="5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Initial Term and At Will Period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40" w:right="339" w:bottom="1440" w:gutter="0" w:footer="0" w:header="0"/>
        </w:sectPr>
      </w:pPr>
    </w:p>
    <w:bookmarkStart w:id="73" w:name="page74"/>
    <w:bookmarkEnd w:id="73"/>
    <w:p>
      <w:pPr>
        <w:spacing w:after="0" w:line="122" w:lineRule="exact"/>
        <w:rPr>
          <w:sz w:val="20"/>
          <w:szCs w:val="20"/>
          <w:color w:val="auto"/>
        </w:rPr>
      </w:pPr>
    </w:p>
    <w:p>
      <w:pPr>
        <w:ind w:firstLine="656"/>
        <w:spacing w:after="0"/>
        <w:tabs>
          <w:tab w:leader="none" w:pos="129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Resignation for Good Reason, and Severance Benefits</w:t>
      </w:r>
      <w:r>
        <w:rPr>
          <w:rFonts w:ascii="Times New Roman" w:cs="Times New Roman" w:eastAsia="Times New Roman" w:hAnsi="Times New Roman"/>
          <w:sz w:val="20"/>
          <w:szCs w:val="20"/>
          <w:color w:val="auto"/>
        </w:rPr>
        <w:t>. Notwithstanding the provisions of Section 2 hereof, the Executive’s employment hereunder shall end under the following circumstances:</w:t>
      </w:r>
    </w:p>
    <w:p>
      <w:pPr>
        <w:spacing w:after="0" w:line="93" w:lineRule="exact"/>
        <w:rPr>
          <w:rFonts w:ascii="Times New Roman" w:cs="Times New Roman" w:eastAsia="Times New Roman" w:hAnsi="Times New Roman"/>
          <w:sz w:val="20"/>
          <w:szCs w:val="20"/>
          <w:color w:val="auto"/>
        </w:rPr>
      </w:pPr>
    </w:p>
    <w:p>
      <w:pPr>
        <w:jc w:val="both"/>
        <w:ind w:left="1620" w:hanging="316"/>
        <w:spacing w:after="0" w:line="209" w:lineRule="auto"/>
        <w:tabs>
          <w:tab w:leader="none" w:pos="160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In the event of the Executive’s death during the Initial Term, the Executive’s employment hereunder shall immediately and automatically terminate. In such event, the Company shall pay to the Executive’s designated beneficiary or, if no beneficiary, has been designate by the Executive, to his estate, (i) the Base Salary for the remainder of the Initial Term earned but not paid through the date of termination (to be paid in accordance with the Company’s normal payroll policies or at such earlier time as required by applicable law), (ii) the Time-Vesting Initial RSUs that would have vested during the Initial Term shall vest immediately, (iii) the value of any vacation time earned but not used through the date of termination (to be paid in accordance with the Company’s policies and applicable law), (iv) any Annual Bonus earned under Section 4(b) with respect to the fiscal year immediately preceding the fiscal year in which such termination occurs, but only to the extent unpaid as of the date of termination (with any such earned Annual Bonus to be paid at the same time as if no such termination had occurred), (v) a pro-rated Annual Bonus for service completed during the then current fiscal year through and including the date of termination, calculated on the same basis as though the Executive remained employed until such Annual Bonus was paid and paid at the same time as annual bonuses are payable generally to the senior officers of the Company; (vi) any other benefits payable to the Executive, his estate or his beneficiaries, as the case may be, under the terms of any employee benefit plan, program or arrangement sponsored or maintained by the Company and (vii)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“Final Compensation”). In addition to Final Compensation, if the Executive’s employment terminates due to his death during the term hereof, the Executive’s estate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or his estate hereunder.</w:t>
      </w:r>
    </w:p>
    <w:p>
      <w:pPr>
        <w:spacing w:after="0" w:line="116" w:lineRule="exact"/>
        <w:rPr>
          <w:rFonts w:ascii="Times New Roman" w:cs="Times New Roman" w:eastAsia="Times New Roman" w:hAnsi="Times New Roman"/>
          <w:sz w:val="20"/>
          <w:szCs w:val="20"/>
          <w:color w:val="auto"/>
        </w:rPr>
      </w:pPr>
    </w:p>
    <w:p>
      <w:pPr>
        <w:jc w:val="both"/>
        <w:ind w:left="1620"/>
        <w:spacing w:after="0" w:line="2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Executive’s death during the At Will Period hereof, the Executive’s employment hereunder shall immediately and automatically terminate. In such event, the Company shall pay to the Executive’s designated beneficiary or, if no beneficiary has been designated by the Executive, to his estate, (i) the Base Salary earned but not paid through the date of termination (to be paid in accordance with the Company’s normal payroll policies or at such earlier time as required by applicable law), (ii) the value of any vacation time earned but not used through the date of termination (to be paid in accordance with the Company’s policies and applicable law), and (iii)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“Final Compensation”). In addition to Final Compensation, if the Executive’s employment terminates due to his death during the term hereof, the Executive’s estate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or his estate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22" w:lineRule="exact"/>
        <w:rPr>
          <w:sz w:val="20"/>
          <w:szCs w:val="20"/>
          <w:color w:val="auto"/>
        </w:rPr>
      </w:pPr>
    </w:p>
    <w:p>
      <w:pPr>
        <w:ind w:left="500" w:hanging="316"/>
        <w:spacing w:after="0"/>
        <w:tabs>
          <w:tab w:leader="none" w:pos="5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840" w:hanging="436"/>
        <w:spacing w:after="0" w:line="224" w:lineRule="auto"/>
        <w:tabs>
          <w:tab w:leader="none" w:pos="840"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terminate the Executive’s employment hereunder,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with or without reasonable accommodation, for any period of ninety (90) consecutive days or more, or one hundred eighty (180) days (whether or not consecutive) during any period of three hundred and sixty-five (365) consecutive calendar days. In the event of such termination, the Company shall pay to the Executive the Final Compensation and shall otherwise comply with the provisions of this Section 5(b). In addition to such Final Compensation, the Executive will be entitled to the Benefit Continuation he would have been entitled to receive under clause (iii) of Section 5(d) below had the Executive been terminated by the Company other than for Cause in accordance with such Section 5(d). The Company shall have no further obligation to the Executive hereunder.</w:t>
      </w:r>
    </w:p>
    <w:p>
      <w:pPr>
        <w:spacing w:after="0" w:line="93" w:lineRule="exact"/>
        <w:rPr>
          <w:rFonts w:ascii="Times New Roman" w:cs="Times New Roman" w:eastAsia="Times New Roman" w:hAnsi="Times New Roman"/>
          <w:sz w:val="19"/>
          <w:szCs w:val="19"/>
          <w:color w:val="auto"/>
        </w:rPr>
      </w:pPr>
    </w:p>
    <w:p>
      <w:pPr>
        <w:jc w:val="both"/>
        <w:ind w:left="840" w:hanging="491"/>
        <w:spacing w:after="0" w:line="218" w:lineRule="auto"/>
        <w:tabs>
          <w:tab w:leader="none" w:pos="840"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terminating the Executive’s employment hereunder, the Board may designate another employee to act in the Executive’s place during any period of the Executive’s disability. Notwithstanding any such designation, the Executive shall continue to receive the Base Salary in accordance with Section 4(a) and Insurance Benefits in accordance with Section 4(e), to the extent permitted by the then-current terms of the applicable benefit plans, until the Executive becomes eligible for long- term disability income benefits under the Company’s disability income plan (or any disability insurance policy of the Company).</w:t>
      </w:r>
    </w:p>
    <w:p>
      <w:pPr>
        <w:spacing w:after="0" w:line="96" w:lineRule="exact"/>
        <w:rPr>
          <w:rFonts w:ascii="Times New Roman" w:cs="Times New Roman" w:eastAsia="Times New Roman" w:hAnsi="Times New Roman"/>
          <w:sz w:val="20"/>
          <w:szCs w:val="20"/>
          <w:color w:val="auto"/>
        </w:rPr>
      </w:pPr>
    </w:p>
    <w:p>
      <w:pPr>
        <w:jc w:val="both"/>
        <w:ind w:left="840" w:hanging="546"/>
        <w:spacing w:after="0" w:line="220" w:lineRule="auto"/>
        <w:tabs>
          <w:tab w:leader="none" w:pos="840"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becomes eligible to receive disability income payments under the Company’s disability income plan (or any disability insurance policy of the Company), the Executive shall be entitled to receive Base Salary under Section 4(a) hereof less the amount of such disability income payments being made to the Executive, and shall continue to participate in Company benefit plans in accordance with Section 4(e) and as permitted by the terms of such plans, in each case, until the termination of his employment.</w:t>
      </w:r>
    </w:p>
    <w:p>
      <w:pPr>
        <w:spacing w:after="0" w:line="93" w:lineRule="exact"/>
        <w:rPr>
          <w:rFonts w:ascii="Times New Roman" w:cs="Times New Roman" w:eastAsia="Times New Roman" w:hAnsi="Times New Roman"/>
          <w:sz w:val="20"/>
          <w:szCs w:val="20"/>
          <w:color w:val="auto"/>
        </w:rPr>
      </w:pPr>
    </w:p>
    <w:p>
      <w:pPr>
        <w:jc w:val="both"/>
        <w:ind w:left="840" w:hanging="535"/>
        <w:spacing w:after="0" w:line="215" w:lineRule="auto"/>
        <w:tabs>
          <w:tab w:leader="none" w:pos="82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as to whether during any period the Executive is disabled through any illness, injury, accident or condition of either a physical or psychological nature so as to be unable to perform substantially all of his duties and responsibilities hereunder shall be made by a physician satisfactory to both the Executive (or his duly appointed guardian) and the Company, provided that if the Executive and the Company do not agree on a physician, the Executive and the Company shall each select a physician and these two together shall select a third physician, whose determination as to disability shall be binding on all parties. The Company shall bear all expenses of the disability determination. If the Executive fails to submit to such medical examination, the Company’s determination of the issue shall be binding on the Executive.</w:t>
      </w:r>
    </w:p>
    <w:p>
      <w:pPr>
        <w:spacing w:after="0" w:line="106" w:lineRule="exact"/>
        <w:rPr>
          <w:rFonts w:ascii="Times New Roman" w:cs="Times New Roman" w:eastAsia="Times New Roman" w:hAnsi="Times New Roman"/>
          <w:sz w:val="20"/>
          <w:szCs w:val="20"/>
          <w:color w:val="auto"/>
        </w:rPr>
      </w:pPr>
    </w:p>
    <w:p>
      <w:pPr>
        <w:jc w:val="both"/>
        <w:ind w:left="840" w:hanging="481"/>
        <w:spacing w:after="0" w:line="216" w:lineRule="auto"/>
        <w:tabs>
          <w:tab w:leader="none" w:pos="82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temporarily replaces Executive or transfers the Executive’s duties or responsibilities to another individual on account of the Executive’s inability to perform such duties due to an incapacity which is, or is reasonably expected to become, a Disability, then the Executive’s employment shall not be deemed terminated by the Company and Executive shall not be able to resign with Good Reason (as defined below) as a result thereof (for the avoidance of doubt, the Employee shall resume his employment under this Agreement upon his return from any such temporary inability to perform such duties or physical incapacity that does not become a Disability).</w:t>
      </w:r>
    </w:p>
    <w:p>
      <w:pPr>
        <w:spacing w:after="0" w:line="108" w:lineRule="exact"/>
        <w:rPr>
          <w:rFonts w:ascii="Times New Roman" w:cs="Times New Roman" w:eastAsia="Times New Roman" w:hAnsi="Times New Roman"/>
          <w:sz w:val="20"/>
          <w:szCs w:val="20"/>
          <w:color w:val="auto"/>
        </w:rPr>
      </w:pPr>
    </w:p>
    <w:p>
      <w:pPr>
        <w:ind w:left="500" w:right="20" w:hanging="316"/>
        <w:spacing w:after="0" w:line="233" w:lineRule="auto"/>
        <w:tabs>
          <w:tab w:leader="none" w:pos="48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for Cause</w:t>
      </w:r>
      <w:r>
        <w:rPr>
          <w:rFonts w:ascii="Times New Roman" w:cs="Times New Roman" w:eastAsia="Times New Roman" w:hAnsi="Times New Roman"/>
          <w:sz w:val="20"/>
          <w:szCs w:val="20"/>
          <w:color w:val="auto"/>
        </w:rPr>
        <w:t>. The Company may terminate the Executive’s employment hereunder for Cause at any time upon notice to the Executive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120"/>
          </w:cols>
          <w:pgMar w:left="1440" w:top="1440" w:right="339" w:bottom="1440" w:gutter="0" w:footer="0" w:header="0"/>
        </w:sectPr>
      </w:pPr>
    </w:p>
    <w:bookmarkStart w:id="75" w:name="page76"/>
    <w:bookmarkEnd w:id="75"/>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forth in reasonable detail the nature of such Cause. The following shall constitute “Cause” for termination:</w:t>
      </w:r>
    </w:p>
    <w:p>
      <w:pPr>
        <w:spacing w:after="0" w:line="135" w:lineRule="exact"/>
        <w:rPr>
          <w:sz w:val="20"/>
          <w:szCs w:val="20"/>
          <w:color w:val="auto"/>
        </w:rPr>
      </w:pPr>
    </w:p>
    <w:p>
      <w:pPr>
        <w:jc w:val="both"/>
        <w:ind w:left="840" w:hanging="436"/>
        <w:spacing w:after="0" w:line="226" w:lineRule="auto"/>
        <w:tabs>
          <w:tab w:leader="none" w:pos="84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or neglect by the Executive to perform the material duties of his employment or to follow the lawful directions of the Board (other than by reason of the Executive’s physical or mental illness or impairment) after written notice of such failure;</w:t>
      </w:r>
    </w:p>
    <w:p>
      <w:pPr>
        <w:spacing w:after="0" w:line="106" w:lineRule="exact"/>
        <w:rPr>
          <w:rFonts w:ascii="Times New Roman" w:cs="Times New Roman" w:eastAsia="Times New Roman" w:hAnsi="Times New Roman"/>
          <w:sz w:val="20"/>
          <w:szCs w:val="20"/>
          <w:color w:val="auto"/>
        </w:rPr>
      </w:pPr>
    </w:p>
    <w:p>
      <w:pPr>
        <w:jc w:val="both"/>
        <w:ind w:left="840" w:hanging="491"/>
        <w:spacing w:after="0" w:line="216" w:lineRule="auto"/>
        <w:tabs>
          <w:tab w:leader="none" w:pos="84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eighteen (18) months from the Commencement Date, material non-performance by the Executive of such duties and responsibilities on behalf of the Company as are customarily performed by a Chief Executive Officer of a company of comparable size (it being acknowledged that the Executive’s performance of the activities described on Exhibit A cannot be the basis for any such claim of material non-performance) if Executive has not cured such failure to perform, if curable, within thirty (30) days after Executive’s receipt of written notice thereof from the Board that specifies the conduct constituting Cause under this clause (ii));</w:t>
      </w:r>
    </w:p>
    <w:p>
      <w:pPr>
        <w:spacing w:after="0" w:line="108" w:lineRule="exact"/>
        <w:rPr>
          <w:rFonts w:ascii="Times New Roman" w:cs="Times New Roman" w:eastAsia="Times New Roman" w:hAnsi="Times New Roman"/>
          <w:sz w:val="20"/>
          <w:szCs w:val="20"/>
          <w:color w:val="auto"/>
        </w:rPr>
      </w:pPr>
    </w:p>
    <w:p>
      <w:pPr>
        <w:ind w:left="840" w:hanging="546"/>
        <w:spacing w:after="0"/>
        <w:tabs>
          <w:tab w:leader="none" w:pos="84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committing any act of fraud, embezzlement, misappropriation, or theft;</w:t>
      </w:r>
    </w:p>
    <w:p>
      <w:pPr>
        <w:spacing w:after="0" w:line="121" w:lineRule="exact"/>
        <w:rPr>
          <w:rFonts w:ascii="Times New Roman" w:cs="Times New Roman" w:eastAsia="Times New Roman" w:hAnsi="Times New Roman"/>
          <w:sz w:val="20"/>
          <w:szCs w:val="20"/>
          <w:color w:val="auto"/>
        </w:rPr>
      </w:pPr>
    </w:p>
    <w:p>
      <w:pPr>
        <w:ind w:left="820" w:hanging="515"/>
        <w:spacing w:after="0"/>
        <w:tabs>
          <w:tab w:leader="none" w:pos="8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violation of the Company’s policies that have been disclosed to the Executive;</w:t>
      </w:r>
    </w:p>
    <w:p>
      <w:pPr>
        <w:spacing w:after="0" w:line="134" w:lineRule="exact"/>
        <w:rPr>
          <w:rFonts w:ascii="Times New Roman" w:cs="Times New Roman" w:eastAsia="Times New Roman" w:hAnsi="Times New Roman"/>
          <w:sz w:val="20"/>
          <w:szCs w:val="20"/>
          <w:color w:val="auto"/>
        </w:rPr>
      </w:pPr>
    </w:p>
    <w:p>
      <w:pPr>
        <w:jc w:val="both"/>
        <w:ind w:left="840" w:hanging="481"/>
        <w:spacing w:after="0" w:line="226" w:lineRule="auto"/>
        <w:tabs>
          <w:tab w:leader="none" w:pos="82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behavior or engagement in any acts that may interfere with the ability of the Company or any of its affiliates to maintain a license to harvest, cultivate, process, or sell cannabis or otherwise continue to operate its business;</w:t>
      </w:r>
    </w:p>
    <w:p>
      <w:pPr>
        <w:spacing w:after="0" w:line="106" w:lineRule="exact"/>
        <w:rPr>
          <w:rFonts w:ascii="Times New Roman" w:cs="Times New Roman" w:eastAsia="Times New Roman" w:hAnsi="Times New Roman"/>
          <w:sz w:val="20"/>
          <w:szCs w:val="20"/>
          <w:color w:val="auto"/>
        </w:rPr>
      </w:pPr>
    </w:p>
    <w:p>
      <w:pPr>
        <w:jc w:val="both"/>
        <w:ind w:left="840" w:hanging="535"/>
        <w:spacing w:after="0" w:line="222" w:lineRule="auto"/>
        <w:tabs>
          <w:tab w:leader="none" w:pos="8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breach of any non-disclosure, non-disparagement, non- competition, non- solicitation, assignment of inventions agreement or other restrictive covenants set forth herein, other than the Executive’s inadvertent and immaterial breach of any non- competition or non-disclosure obligation that is not otherwise detrimental to the Company or any of its affiliates;</w:t>
      </w:r>
    </w:p>
    <w:p>
      <w:pPr>
        <w:spacing w:after="0" w:line="94" w:lineRule="exact"/>
        <w:rPr>
          <w:rFonts w:ascii="Times New Roman" w:cs="Times New Roman" w:eastAsia="Times New Roman" w:hAnsi="Times New Roman"/>
          <w:sz w:val="20"/>
          <w:szCs w:val="20"/>
          <w:color w:val="auto"/>
        </w:rPr>
      </w:pPr>
    </w:p>
    <w:p>
      <w:pPr>
        <w:jc w:val="both"/>
        <w:ind w:left="840" w:hanging="590"/>
        <w:spacing w:after="0" w:line="225" w:lineRule="auto"/>
        <w:tabs>
          <w:tab w:leader="none" w:pos="84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Executive’s conviction of a felony (including pleading guilty or nolo contendere to a felony) or commitment of other acts causing a material detriment to the reputation, the business or a business relationship of the Company or any of its affiliates; provided, however, that for the avoidance of doubt, no conviction or plea of nolo contendere of a felony or crime that occurs solely as a result of a violation of U.S. federal law concerning cannabis or the cannabis industry shall be deemed to constitute “Cause”, so long as (A) the acts, omissions, conduct or activity related to cannabis or the cannabis industry giving rise to any such conviction or plea of nolo contendere of a felony or crime could be reasonably believed to be in compliance with applicable state and local laws and (B) such conviction or plea of nolo contendere is not likely to interfere with the ability of the Company or any of its affiliates to maintain a license to harvest, cultivate, process, or sell cannabis or otherwise continue to operate its business;</w:t>
      </w:r>
    </w:p>
    <w:p>
      <w:pPr>
        <w:spacing w:after="0" w:line="100" w:lineRule="exact"/>
        <w:rPr>
          <w:rFonts w:ascii="Times New Roman" w:cs="Times New Roman" w:eastAsia="Times New Roman" w:hAnsi="Times New Roman"/>
          <w:sz w:val="19"/>
          <w:szCs w:val="19"/>
          <w:color w:val="auto"/>
        </w:rPr>
      </w:pPr>
    </w:p>
    <w:p>
      <w:pPr>
        <w:jc w:val="both"/>
        <w:ind w:left="840" w:hanging="645"/>
        <w:spacing w:after="0" w:line="215" w:lineRule="auto"/>
        <w:tabs>
          <w:tab w:leader="none" w:pos="8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engagement in dishonesty, unlawful conduct (other than solely as a result of a violation of U.S. federal law concerning cannabis or the cannabis industry, so long as (A) the acts, omissions, conduct or activity related to cannabis or the cannabis industry giving rise to such illegal conduct could be reasonably believed to be in compliance with applicable state and local laws and (B) such unlawful conduct is not likely to interfere with the ability of the Company or any of its affiliates to maintain a license to harvest, cultivate, process, or sell cannabis or otherwise continue to operate its business), or misconduct, which in each case is injurious (monetarily or otherwise) to the Company or its affiliates; or</w:t>
      </w:r>
    </w:p>
    <w:p>
      <w:pPr>
        <w:spacing w:after="0" w:line="110" w:lineRule="exact"/>
        <w:rPr>
          <w:rFonts w:ascii="Times New Roman" w:cs="Times New Roman" w:eastAsia="Times New Roman" w:hAnsi="Times New Roman"/>
          <w:sz w:val="20"/>
          <w:szCs w:val="20"/>
          <w:color w:val="auto"/>
        </w:rPr>
      </w:pPr>
    </w:p>
    <w:p>
      <w:pPr>
        <w:ind w:left="840" w:hanging="535"/>
        <w:spacing w:after="0"/>
        <w:tabs>
          <w:tab w:leader="none" w:pos="8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breach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20"/>
          </w:cols>
          <w:pgMar w:left="1440" w:top="1440" w:right="339" w:bottom="1440" w:gutter="0" w:footer="0" w:header="0"/>
        </w:sectPr>
      </w:pPr>
    </w:p>
    <w:bookmarkStart w:id="76" w:name="page77"/>
    <w:bookmarkEnd w:id="76"/>
    <w:p>
      <w:pPr>
        <w:spacing w:after="0" w:line="122"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Upon the termination of the Executive’s employment hereunder for Cause, the Company shall have no further obligation hereunder to the Executive, other than for Final Compensation.</w:t>
      </w:r>
    </w:p>
    <w:p>
      <w:pPr>
        <w:spacing w:after="0" w:line="94" w:lineRule="exact"/>
        <w:rPr>
          <w:sz w:val="20"/>
          <w:szCs w:val="20"/>
          <w:color w:val="auto"/>
        </w:rPr>
      </w:pPr>
    </w:p>
    <w:p>
      <w:pPr>
        <w:jc w:val="both"/>
        <w:ind w:left="1620" w:hanging="316"/>
        <w:spacing w:after="0" w:line="230" w:lineRule="auto"/>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Other than for Cause</w:t>
      </w:r>
      <w:r>
        <w:rPr>
          <w:rFonts w:ascii="Times New Roman" w:cs="Times New Roman" w:eastAsia="Times New Roman" w:hAnsi="Times New Roman"/>
          <w:sz w:val="20"/>
          <w:szCs w:val="20"/>
          <w:color w:val="auto"/>
        </w:rPr>
        <w:t>. The Company may terminate the Executive’s employment hereunder other than for Cause (and other than in connection with the Executive’s death or disability) at any time upon written notice to the Executive.</w:t>
      </w:r>
    </w:p>
    <w:p>
      <w:pPr>
        <w:spacing w:after="0" w:line="94" w:lineRule="exact"/>
        <w:rPr>
          <w:rFonts w:ascii="Times New Roman" w:cs="Times New Roman" w:eastAsia="Times New Roman" w:hAnsi="Times New Roman"/>
          <w:sz w:val="20"/>
          <w:szCs w:val="20"/>
          <w:color w:val="auto"/>
        </w:rPr>
      </w:pPr>
    </w:p>
    <w:p>
      <w:pPr>
        <w:jc w:val="both"/>
        <w:ind w:left="1620"/>
        <w:spacing w:after="0" w:line="2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such termination by the Company other than for Cause during the Initial Term, then the Company shall pay to the Executive (i) the Final Compensation, (ii) the Base Salary for the remainder of the Initial Term earned but not paid through the date of termination (to be paid in accordance with the Company’s normal payroll policies or at such earlier time as required by applicable law) over the remainder of the remainder of the Initial Term following the termination date (with the first payment to be made on the first payroll date following the effective date of the Employee Release (as defined below) (the “</w:t>
      </w:r>
      <w:r>
        <w:rPr>
          <w:rFonts w:ascii="Times New Roman" w:cs="Times New Roman" w:eastAsia="Times New Roman" w:hAnsi="Times New Roman"/>
          <w:sz w:val="20"/>
          <w:szCs w:val="20"/>
          <w:u w:val="single" w:color="auto"/>
          <w:color w:val="auto"/>
        </w:rPr>
        <w:t>Initial Term Termination Compensation”</w:t>
      </w:r>
      <w:r>
        <w:rPr>
          <w:rFonts w:ascii="Times New Roman" w:cs="Times New Roman" w:eastAsia="Times New Roman" w:hAnsi="Times New Roman"/>
          <w:sz w:val="20"/>
          <w:szCs w:val="20"/>
          <w:color w:val="auto"/>
        </w:rPr>
        <w:t>), (iii) the Time-Vesting Initial RSUs that would have vested during the Initial Term shall vest immediately, (iv) subject to any employee contribution applicable to the Executive as of immediately prior to the date of termination, the Company shall continue to pay the cost of the Executive’s participation in the Company’s medical and dental insurance plans for a period of the remainder of the Initial Term, provided that if the Executive’s continued participation in such plans would result in a violation of any non-discrimination rules or result in any fines, penalties or excise taxes to the Company or any of its affiliates or if the Executive is otherwise not eligible to continue participation in such plans under applicable law or plan terms, then, to the extent possible without resulting in such violation, fines, penalties or excise taxes, the Company shall instead make monthly cash payments to the Executive in an amount equal to the employer portion of the monthly insurance premiums that would have been applicable had the Executive been eligible to continue such participation (the benefit described in this clause (iv), collectively, the “Benefit Continuation”) (items (i) – (iv) collectively shall be defined as the “</w:t>
      </w: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102" w:lineRule="exact"/>
        <w:rPr>
          <w:rFonts w:ascii="Times New Roman" w:cs="Times New Roman" w:eastAsia="Times New Roman" w:hAnsi="Times New Roman"/>
          <w:sz w:val="20"/>
          <w:szCs w:val="20"/>
          <w:color w:val="auto"/>
        </w:rPr>
      </w:pPr>
    </w:p>
    <w:p>
      <w:pPr>
        <w:jc w:val="both"/>
        <w:ind w:left="1620"/>
        <w:spacing w:after="0" w:line="22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In the event of such termination during the At Will Period then (i) the Company shall pay to the Executive the Final Compensation, (ii) the Company shall pay the Executive an amount equal to the sum of fifty-percent (50%) of the Base Salary earned by the Executive for the full fiscal year immediately preceding the fiscal year in which such termination occurs (the “</w:t>
      </w:r>
      <w:r>
        <w:rPr>
          <w:rFonts w:ascii="Times New Roman" w:cs="Times New Roman" w:eastAsia="Times New Roman" w:hAnsi="Times New Roman"/>
          <w:sz w:val="19"/>
          <w:szCs w:val="19"/>
          <w:u w:val="single" w:color="auto"/>
          <w:color w:val="auto"/>
        </w:rPr>
        <w:t>At Will Period Termination Compensation</w:t>
      </w:r>
      <w:r>
        <w:rPr>
          <w:rFonts w:ascii="Times New Roman" w:cs="Times New Roman" w:eastAsia="Times New Roman" w:hAnsi="Times New Roman"/>
          <w:sz w:val="19"/>
          <w:szCs w:val="19"/>
          <w:color w:val="auto"/>
        </w:rPr>
        <w:t>”), payable in substantially equal installments in accordance with the Company’s normal payroll practices as in effect from time to time, over the six (6) month period immediately following the termination date (with the first payment to be made on the first payroll date following the effective date of the Employee Release (as defined below) and to include a catch-up to cover any payment that would have been made prior to such date had the Employee Release been effective on the termination date); provided that, if the period from the termination date through the last day that the payments could begin spans two calendar years, such payments shall commence in the second calendar year; provided further that if such termination date occurs prior to the conclusion of one full fiscal year of employment from the original hire date, it shall be assumed, for purposes of determining the Termination Compensation, that Executive earned one full fiscal year of his current Base Salary; provided, further, that, if (and only if) such termination date occurs within eighteen (18) months after a Change of Control Event (as defined above, then the Termination Compensation shall be increased to one-hundred percent (100%) of Executive’s Base Salary and shall be payable to the Executive in a lump sum payment on the first payroll date following the effective date of the Employee Release (rather than in installments, as provided above in this clause (ii)) and any unvested Time-Vesting Initial RSUs shall vest , (iii) subject to any employee contribution applicable to the Executive as of immediately prior to the date of termination, the Company shall continue to pay the cost of the Executive’s participation in the Company’s medical and dental insurance plans for a period of twelve (12) months , provided that if the Executive’s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participation in such plans would result in a violation of any non-discrimination rules or result in any fines, penalties or</w:t>
      </w:r>
    </w:p>
    <w:p>
      <w:pPr>
        <w:jc w:val="both"/>
        <w:ind w:left="1620"/>
        <w:spacing w:after="0" w:line="204" w:lineRule="auto"/>
        <w:rPr>
          <w:sz w:val="20"/>
          <w:szCs w:val="20"/>
          <w:color w:val="auto"/>
        </w:rPr>
      </w:pPr>
      <w:r>
        <w:rPr>
          <w:rFonts w:ascii="Times New Roman" w:cs="Times New Roman" w:eastAsia="Times New Roman" w:hAnsi="Times New Roman"/>
          <w:sz w:val="20"/>
          <w:szCs w:val="20"/>
          <w:color w:val="auto"/>
        </w:rPr>
        <w:t>excise taxes to the Company or any of its affiliates or if the Executive is otherwise not eligible to continue participation in such plans under applicable law or plan terms, then, to the extent possible without resulting in such violation, fines,</w:t>
      </w:r>
    </w:p>
    <w:p>
      <w:pPr>
        <w:ind w:left="1620"/>
        <w:spacing w:after="0" w:line="223" w:lineRule="auto"/>
        <w:rPr>
          <w:sz w:val="20"/>
          <w:szCs w:val="20"/>
          <w:color w:val="auto"/>
        </w:rPr>
      </w:pPr>
      <w:r>
        <w:rPr>
          <w:rFonts w:ascii="Times New Roman" w:cs="Times New Roman" w:eastAsia="Times New Roman" w:hAnsi="Times New Roman"/>
          <w:sz w:val="19"/>
          <w:szCs w:val="19"/>
          <w:color w:val="auto"/>
        </w:rPr>
        <w:t>penalties or excise taxes, the Company shall instead make monthly cash payments to the Executive in an amount equal to</w:t>
      </w:r>
    </w:p>
    <w:p>
      <w:pPr>
        <w:jc w:val="both"/>
        <w:ind w:left="1620"/>
        <w:spacing w:after="0" w:line="204" w:lineRule="auto"/>
        <w:rPr>
          <w:sz w:val="20"/>
          <w:szCs w:val="20"/>
          <w:color w:val="auto"/>
        </w:rPr>
      </w:pPr>
      <w:r>
        <w:rPr>
          <w:rFonts w:ascii="Times New Roman" w:cs="Times New Roman" w:eastAsia="Times New Roman" w:hAnsi="Times New Roman"/>
          <w:sz w:val="20"/>
          <w:szCs w:val="20"/>
          <w:color w:val="auto"/>
        </w:rPr>
        <w:t>the employer portion of the monthly insurance premiums that would have been applicable had the Executive been eligible to continue such participation (the benefit described in this clause (iii), collectively, the “Benefit Continuation”)</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(items (i) – (iii) collectively shall be defined as the “</w:t>
      </w:r>
      <w:r>
        <w:rPr>
          <w:rFonts w:ascii="Times New Roman" w:cs="Times New Roman" w:eastAsia="Times New Roman" w:hAnsi="Times New Roman"/>
          <w:sz w:val="20"/>
          <w:szCs w:val="20"/>
          <w:u w:val="single" w:color="auto"/>
          <w:color w:val="auto"/>
        </w:rPr>
        <w:t>At Will Severance Benefits</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jc w:val="both"/>
        <w:ind w:left="1620" w:hanging="316"/>
        <w:spacing w:after="0" w:line="211" w:lineRule="auto"/>
        <w:tabs>
          <w:tab w:leader="none" w:pos="160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for Good Reason</w:t>
      </w:r>
      <w:r>
        <w:rPr>
          <w:rFonts w:ascii="Times New Roman" w:cs="Times New Roman" w:eastAsia="Times New Roman" w:hAnsi="Times New Roman"/>
          <w:sz w:val="20"/>
          <w:szCs w:val="20"/>
          <w:color w:val="auto"/>
        </w:rPr>
        <w:t>. Executive may terminate this Agreement at any time for Good Reason, provided that the Company shall have thirty (30) days from such notice of termination in which to cure (if curable) any act or omission constituting Good Reason pursuant to subsections (i) to (iv) below prior to the effective termination date. If the Company fails to cure the act or omission constituting Good Reason, or such act or omission is incurable, Executive shall be entitled to, if such termination is during the Initial Term, the Initial Term Severance Benefits, or if such termination is during the At Will Period, the At Will Severance Benefits. For purposes of this Agreement, “Good Reason” means: (i) any material reduction in the Executive’s Base Salary; (ii) any material reduction in the Executive’s target Annual Bonus; (iii) any material diminution in the Executive’s responsibilities or authority within the Company so as to fundamentally change the nature and extent of the job other than that which occurs as a result of a Change of Control Event; (iv); any failure by the Company to comply with any material provision of this Agreement that remains uncured after thirty (30) days; and (v) any requirement that the Executive relocate the principal place of his work for the Company such that his existing commute is increased by more than 50 miles.</w:t>
      </w:r>
    </w:p>
    <w:p>
      <w:pPr>
        <w:spacing w:after="0" w:line="98" w:lineRule="exact"/>
        <w:rPr>
          <w:rFonts w:ascii="Times New Roman" w:cs="Times New Roman" w:eastAsia="Times New Roman" w:hAnsi="Times New Roman"/>
          <w:sz w:val="20"/>
          <w:szCs w:val="20"/>
          <w:color w:val="auto"/>
        </w:rPr>
      </w:pPr>
    </w:p>
    <w:p>
      <w:pPr>
        <w:jc w:val="both"/>
        <w:ind w:left="1620" w:hanging="316"/>
        <w:spacing w:after="0" w:line="212" w:lineRule="auto"/>
        <w:tabs>
          <w:tab w:leader="none" w:pos="161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the Company to make the payments and provide the benefits to the Executive under Section 5 (other than Final Compensation) is conditioned, however, upon the Executive (or his estate or legal representative, as applicable) signing a general release of claims and covenant not to sue (the “Employee Release”) within twenty-one (21) days (or such greater period as the Company may specify) (the “Release Period”) following the date of termination of employment and upon the Executive (or his estate or legal representative, as applicable) not revoking the Employee Release during the seven (7) day revocation period following the execution of the Employee Release (the “Revocation Period”). Notwithstanding the foregoing, if payment of Termination Compensation and the Benefit Continuation could commence in more than one taxable year based on when the Employee Release could become effective, then to the extent required by Section 409A of the Code, any such payments that would have been made during the calendar year in which the Executive’s employment terminates shall instead be withheld and paid on the first payroll date in the calendar year immediately after the calendar year in which the Executive’s employment terminates, with all remaining payments to be made as if no such delay had occurred.</w:t>
      </w:r>
    </w:p>
    <w:p>
      <w:pPr>
        <w:spacing w:after="0" w:line="100"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provisions of this Section 6 shall apply to a termination of the Executive’s employment with the Company hereunder, whether due to the expiration of the term hereof, pursuant to Section 5 or otherwise.</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7" w:lineRule="auto"/>
        <w:tabs>
          <w:tab w:leader="none" w:pos="160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Company of any applicable Final Compensation, Termination Compensation, Benefit Continuation, and/or any other amounts or benefits that may be due the Executive in each case under the applicable termination provision of Section 5 shall constitute the entire obligation of the Company to the Executive, and the Executive shall not be entitled to additional payments or benefits under any other severance agreement or executive severance plan of the Company. Upon request of the Company, the Executive shall promptly give the Company notice of all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necessary for the Company to determine the amount and duration of its obligations in connection with any termination pursuant to Section 5 hereof.</w:t>
      </w:r>
    </w:p>
    <w:p>
      <w:pPr>
        <w:spacing w:after="0" w:line="94" w:lineRule="exact"/>
        <w:rPr>
          <w:sz w:val="20"/>
          <w:szCs w:val="20"/>
          <w:color w:val="auto"/>
        </w:rPr>
      </w:pPr>
    </w:p>
    <w:p>
      <w:pPr>
        <w:jc w:val="both"/>
        <w:ind w:left="1620" w:hanging="316"/>
        <w:spacing w:after="0" w:line="222" w:lineRule="auto"/>
        <w:tabs>
          <w:tab w:leader="none" w:pos="16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any amounts included in Final Compensation or the Benefit Continuation, all benefits shall terminate pursuant to the terms of the applicable benefit plans based on the date of termination of the Executive’s employment without regard to any continuation of any applicable Termination Compensation or other payment to the Executive following such date of termination.</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0" w:lineRule="auto"/>
        <w:tabs>
          <w:tab w:leader="none" w:pos="1609"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of this Agreement shall survive any termination of Executive’s employment hereunder if so provided herein or if necessary or desirable to accomplish the purposes of other surviving provisions, including without limitation the Restrictive Covenants (as defined below). The obligation of the Company to make payments and provide benefits to or on behalf of the Executive under 5(b), 5(d), 5(e) or 5(f) hereof (other than the Final Compensation) is expressly conditioned upon the Executive’s continued compliance with the Restrictive Covenants; provided that (i) the Company may not discontinue any such payments and benefits (or require repayment of any such payments or benefits already provided to the Executive) unless the Company has provided written notice to the Executive setting forth in reasonable detail the nature of such non-compliance and, if the nature of such non-compliance is such that it is capable of being remedied by the Executive without any damage to the Company, as determined by the Board, the Executive shall have failed to remedy such non-compliance within ten (10) days following receipt of such notice (it being understood that if the nature of such non-compliance is such that it is not capable of being remedied by the Executive without any damage to the Company, as determined by the Board, the Company may discontinue such payments and benefits at such time as it provides such written notice to the Executive) and (ii) to the extent curable, the Company may suspend or discontinue such payments or benefits thereafter only during such period as such non-compliance continues. The Executive recognizes that, except as expressly provided in Section 5, no compensation is earned after termination of employment.</w:t>
      </w:r>
    </w:p>
    <w:p>
      <w:pPr>
        <w:spacing w:after="0" w:line="113" w:lineRule="exact"/>
        <w:rPr>
          <w:rFonts w:ascii="Times New Roman" w:cs="Times New Roman" w:eastAsia="Times New Roman" w:hAnsi="Times New Roman"/>
          <w:sz w:val="20"/>
          <w:szCs w:val="20"/>
          <w:color w:val="auto"/>
        </w:rPr>
      </w:pPr>
    </w:p>
    <w:p>
      <w:pPr>
        <w:jc w:val="both"/>
        <w:ind w:firstLine="656"/>
        <w:spacing w:after="0" w:line="213" w:lineRule="auto"/>
        <w:tabs>
          <w:tab w:leader="none" w:pos="129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As an inducement and as essential consideration for the Company to enter into this Agreement, and in exchange for other good and valuable consideration, the Executive hereby agrees to the restrictive covenants contained in this Section 7 (the “Restrictive Covenants”).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“Company” and “affiliate” shall also refer to the predecessors and successors of the Company and any of its affiliates (as the case may be).</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2" w:lineRule="auto"/>
        <w:tabs>
          <w:tab w:leader="none" w:pos="160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22" w:lineRule="exact"/>
        <w:rPr>
          <w:sz w:val="20"/>
          <w:szCs w:val="20"/>
          <w:color w:val="auto"/>
        </w:rPr>
      </w:pPr>
    </w:p>
    <w:p>
      <w:pPr>
        <w:jc w:val="both"/>
        <w:ind w:left="500" w:hanging="316"/>
        <w:spacing w:after="0" w:line="213" w:lineRule="auto"/>
        <w:tabs>
          <w:tab w:leader="none" w:pos="5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w:t>
      </w:r>
    </w:p>
    <w:p>
      <w:pPr>
        <w:spacing w:after="0" w:line="107" w:lineRule="exact"/>
        <w:rPr>
          <w:rFonts w:ascii="Times New Roman" w:cs="Times New Roman" w:eastAsia="Times New Roman" w:hAnsi="Times New Roman"/>
          <w:sz w:val="20"/>
          <w:szCs w:val="20"/>
          <w:color w:val="auto"/>
        </w:rPr>
      </w:pPr>
    </w:p>
    <w:p>
      <w:pPr>
        <w:jc w:val="both"/>
        <w:ind w:left="500" w:hanging="316"/>
        <w:spacing w:after="0" w:line="209" w:lineRule="auto"/>
        <w:tabs>
          <w:tab w:leader="none" w:pos="48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xml:space="preserve"> During the period commencing on the Commencement Date and ending on the date that is six (6) months after the Termination Date, regardless of the reason for the Executive’s termination of employment and regardless of who initiates such termination (such period, the “Non-Competition Period”),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 or has taken steps to become, competitive with the current business, activities, 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otherwise approved by the Board at any time prior to the Termination Date (the “Competitive Business”). Notwithstanding the immediately preceding sentence, the Executive shall not be deemed to be engaged in a Competitive Business solely by reason of (i) less than a 1% equity ownership interest in the stock of any publicly traded company or (ii) a passive ownership interest in any registered investment company.</w:t>
      </w:r>
    </w:p>
    <w:p>
      <w:pPr>
        <w:spacing w:after="0" w:line="121" w:lineRule="exact"/>
        <w:rPr>
          <w:rFonts w:ascii="Times New Roman" w:cs="Times New Roman" w:eastAsia="Times New Roman" w:hAnsi="Times New Roman"/>
          <w:sz w:val="20"/>
          <w:szCs w:val="20"/>
          <w:color w:val="auto"/>
        </w:rPr>
      </w:pPr>
    </w:p>
    <w:p>
      <w:pPr>
        <w:jc w:val="both"/>
        <w:ind w:left="500" w:hanging="316"/>
        <w:spacing w:after="0" w:line="210" w:lineRule="auto"/>
        <w:tabs>
          <w:tab w:leader="none" w:pos="5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7(d) shall be violated by truthful statements (x) made to any governmental authority, (y) which are in connection with legal process, legal proceedings relating to enforcement of rights hereunder, required governmental testimony or filings, or administrative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120"/>
          </w:cols>
          <w:pgMar w:left="1440" w:top="1440" w:right="339" w:bottom="1440" w:gutter="0" w:footer="0" w:header="0"/>
        </w:sectPr>
      </w:pPr>
    </w:p>
    <w:bookmarkStart w:id="80" w:name="page81"/>
    <w:bookmarkEnd w:id="80"/>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arbitral proceedings (including, without limitation, depositions in connection with such proceedings) or (z) made in performance reviews.</w:t>
      </w:r>
    </w:p>
    <w:p>
      <w:pPr>
        <w:spacing w:after="0" w:line="94" w:lineRule="exact"/>
        <w:rPr>
          <w:sz w:val="20"/>
          <w:szCs w:val="20"/>
          <w:color w:val="auto"/>
        </w:rPr>
      </w:pPr>
    </w:p>
    <w:p>
      <w:pPr>
        <w:jc w:val="both"/>
        <w:ind w:left="500" w:hanging="316"/>
        <w:spacing w:after="0" w:line="220" w:lineRule="auto"/>
        <w:tabs>
          <w:tab w:leader="none" w:pos="48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 Return of Property</w:t>
      </w:r>
      <w:r>
        <w:rPr>
          <w:rFonts w:ascii="Times New Roman" w:cs="Times New Roman" w:eastAsia="Times New Roman" w:hAnsi="Times New Roman"/>
          <w:sz w:val="19"/>
          <w:szCs w:val="19"/>
          <w:color w:val="auto"/>
        </w:rPr>
        <w:t>. During the term hereof and at all times thereafter, the Executive shall not, without the prior express written consent of the Company, directly or indirectly, use on the Executive’s behalf or on behalf of any other person or entity, 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7(e)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shall not be held criminally or civilly liable under any federal or state trade secret law for the disclosure of a trade secret that:</w:t>
      </w:r>
    </w:p>
    <w:p>
      <w:pPr>
        <w:spacing w:after="0" w:line="3" w:lineRule="exact"/>
        <w:rPr>
          <w:rFonts w:ascii="Times New Roman" w:cs="Times New Roman" w:eastAsia="Times New Roman" w:hAnsi="Times New Roman"/>
          <w:sz w:val="19"/>
          <w:szCs w:val="19"/>
          <w:color w:val="auto"/>
        </w:rPr>
      </w:pPr>
    </w:p>
    <w:p>
      <w:pPr>
        <w:jc w:val="both"/>
        <w:ind w:left="500" w:firstLine="8"/>
        <w:spacing w:after="0" w:line="226" w:lineRule="auto"/>
        <w:tabs>
          <w:tab w:leader="none" w:pos="859"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(II)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 Agreement. In the event that such protective order or other remedy is not obtained, then the Executive will furnish only that portion of the Confidential Information which is legally required (as may be advised by Executive’s legal counsel), and will cooperate with the Company in the 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“Confidential Information” shall mean all information of a sensitive, confidential or proprietary nature respecting the business and activities of the Company or any of its affiliates, including, without limitation, the terms and provisions of this Agreement (except for the terms and provisions of Section 7), and the clients, customers, suppliers, computer or other files, projects, products, computer disks or other media, computer hardware or computer software programs, marketing plans,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120"/>
          </w:cols>
          <w:pgMar w:left="1440" w:top="1440" w:right="339" w:bottom="1440" w:gutter="0" w:footer="0" w:header="0"/>
        </w:sectPr>
      </w:pPr>
    </w:p>
    <w:bookmarkStart w:id="81" w:name="page82"/>
    <w:bookmarkEnd w:id="81"/>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methodologies, Inventions (as defined below), know-how, research, developments, processes, practices, approaches,</w:t>
      </w:r>
    </w:p>
    <w:p>
      <w:pPr>
        <w:ind w:left="500"/>
        <w:spacing w:after="0" w:line="215" w:lineRule="auto"/>
        <w:rPr>
          <w:sz w:val="20"/>
          <w:szCs w:val="20"/>
          <w:color w:val="auto"/>
        </w:rPr>
      </w:pPr>
      <w:r>
        <w:rPr>
          <w:rFonts w:ascii="Times New Roman" w:cs="Times New Roman" w:eastAsia="Times New Roman" w:hAnsi="Times New Roman"/>
          <w:sz w:val="19"/>
          <w:szCs w:val="19"/>
          <w:color w:val="auto"/>
        </w:rPr>
        <w:t>projections, forecasts, formats, systems, data gathering methods and/or strategies of the Company or any of its affiliates. Confidential Information also includes all information received by the Company or any of its affiliates under an</w:t>
      </w:r>
    </w:p>
    <w:p>
      <w:pPr>
        <w:ind w:left="500"/>
        <w:spacing w:after="0" w:line="211" w:lineRule="auto"/>
        <w:rPr>
          <w:sz w:val="20"/>
          <w:szCs w:val="20"/>
          <w:color w:val="auto"/>
        </w:rPr>
      </w:pPr>
      <w:r>
        <w:rPr>
          <w:rFonts w:ascii="Times New Roman" w:cs="Times New Roman" w:eastAsia="Times New Roman" w:hAnsi="Times New Roman"/>
          <w:sz w:val="20"/>
          <w:szCs w:val="20"/>
          <w:color w:val="auto"/>
        </w:rPr>
        <w:t>obligation of confidentiality to a third party of which the Executive has knowledge. Notwithstanding the foregoing,</w:t>
      </w:r>
    </w:p>
    <w:p>
      <w:pPr>
        <w:ind w:left="500"/>
        <w:spacing w:after="0" w:line="204" w:lineRule="auto"/>
        <w:rPr>
          <w:sz w:val="20"/>
          <w:szCs w:val="20"/>
          <w:color w:val="auto"/>
        </w:rPr>
      </w:pPr>
      <w:r>
        <w:rPr>
          <w:rFonts w:ascii="Times New Roman" w:cs="Times New Roman" w:eastAsia="Times New Roman" w:hAnsi="Times New Roman"/>
          <w:sz w:val="20"/>
          <w:szCs w:val="20"/>
          <w:color w:val="auto"/>
        </w:rPr>
        <w:t>Confidential Information shall not include any information that is (i) generally available, or is made generally available, to the public other than as a result of a direct or indirect unauthorized disclosure by the Executive or any other person or</w:t>
      </w:r>
    </w:p>
    <w:p>
      <w:pPr>
        <w:spacing w:after="0" w:line="1" w:lineRule="exact"/>
        <w:rPr>
          <w:sz w:val="20"/>
          <w:szCs w:val="20"/>
          <w:color w:val="auto"/>
        </w:rPr>
      </w:pPr>
    </w:p>
    <w:p>
      <w:pPr>
        <w:ind w:left="500"/>
        <w:spacing w:after="0" w:line="228" w:lineRule="auto"/>
        <w:rPr>
          <w:sz w:val="20"/>
          <w:szCs w:val="20"/>
          <w:color w:val="auto"/>
        </w:rPr>
      </w:pPr>
      <w:r>
        <w:rPr>
          <w:rFonts w:ascii="Times New Roman" w:cs="Times New Roman" w:eastAsia="Times New Roman" w:hAnsi="Times New Roman"/>
          <w:sz w:val="20"/>
          <w:szCs w:val="20"/>
          <w:color w:val="auto"/>
        </w:rPr>
        <w:t>entity subject to a confidentiality obligation, or that is (ii) required to be disclosed to any governmental agency or self-regulatory body or is otherwise required to be disclosed by law.</w:t>
      </w:r>
    </w:p>
    <w:p>
      <w:pPr>
        <w:spacing w:after="0" w:line="95" w:lineRule="exact"/>
        <w:rPr>
          <w:sz w:val="20"/>
          <w:szCs w:val="20"/>
          <w:color w:val="auto"/>
        </w:rPr>
      </w:pPr>
    </w:p>
    <w:p>
      <w:pPr>
        <w:jc w:val="both"/>
        <w:ind w:left="500" w:hanging="316"/>
        <w:spacing w:after="0" w:line="226" w:lineRule="auto"/>
        <w:tabs>
          <w:tab w:leader="none" w:pos="494"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of Inventions</w:t>
      </w:r>
      <w:r>
        <w:rPr>
          <w:rFonts w:ascii="Times New Roman" w:cs="Times New Roman" w:eastAsia="Times New Roman" w:hAnsi="Times New Roman"/>
          <w:sz w:val="19"/>
          <w:szCs w:val="19"/>
          <w:color w:val="auto"/>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“Company IP”).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7(f) shall be paid by the Company or its designee. The Executive shall not, on or after the Commencement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“Company Invention” 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Commencement Date, but not before the commencement of Executive’s employment with the Company or its predecessor),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120"/>
          </w:cols>
          <w:pgMar w:left="1440" w:top="1440" w:right="339" w:bottom="1440" w:gutter="0" w:footer="0" w:header="0"/>
        </w:sectPr>
      </w:pPr>
    </w:p>
    <w:bookmarkStart w:id="82" w:name="page83"/>
    <w:bookmarkEnd w:id="82"/>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or any of its affiliates, whether or not during the Executive’s work hours (and whether before, on, or after</w:t>
      </w:r>
    </w:p>
    <w:p>
      <w:pPr>
        <w:ind w:left="500"/>
        <w:spacing w:after="0" w:line="204" w:lineRule="auto"/>
        <w:rPr>
          <w:sz w:val="20"/>
          <w:szCs w:val="20"/>
          <w:color w:val="auto"/>
        </w:rPr>
      </w:pPr>
      <w:r>
        <w:rPr>
          <w:rFonts w:ascii="Times New Roman" w:cs="Times New Roman" w:eastAsia="Times New Roman" w:hAnsi="Times New Roman"/>
          <w:sz w:val="20"/>
          <w:szCs w:val="20"/>
          <w:color w:val="auto"/>
        </w:rPr>
        <w:t>the Commencement Date, but not before the commencement of Executive’s employment with the Company or its predecessor). For purposes of this Agreement, “Invention” shall mean any invention, formula, therapy, diagnostic</w:t>
      </w:r>
    </w:p>
    <w:p>
      <w:pPr>
        <w:ind w:left="500"/>
        <w:spacing w:after="0" w:line="211" w:lineRule="auto"/>
        <w:rPr>
          <w:sz w:val="20"/>
          <w:szCs w:val="20"/>
          <w:color w:val="auto"/>
        </w:rPr>
      </w:pPr>
      <w:r>
        <w:rPr>
          <w:rFonts w:ascii="Times New Roman" w:cs="Times New Roman" w:eastAsia="Times New Roman" w:hAnsi="Times New Roman"/>
          <w:sz w:val="20"/>
          <w:szCs w:val="20"/>
          <w:color w:val="auto"/>
        </w:rPr>
        <w:t>technique, discovery, improvement, idea, technique, design, method, art, process, methodology, algorithm, machine,</w:t>
      </w:r>
    </w:p>
    <w:p>
      <w:pPr>
        <w:spacing w:after="0" w:line="1" w:lineRule="exact"/>
        <w:rPr>
          <w:sz w:val="20"/>
          <w:szCs w:val="20"/>
          <w:color w:val="auto"/>
        </w:rPr>
      </w:pPr>
    </w:p>
    <w:p>
      <w:pPr>
        <w:ind w:left="500"/>
        <w:spacing w:after="0" w:line="204" w:lineRule="auto"/>
        <w:rPr>
          <w:sz w:val="20"/>
          <w:szCs w:val="20"/>
          <w:color w:val="auto"/>
        </w:rPr>
      </w:pPr>
      <w:r>
        <w:rPr>
          <w:rFonts w:ascii="Times New Roman" w:cs="Times New Roman" w:eastAsia="Times New Roman" w:hAnsi="Times New Roman"/>
          <w:sz w:val="20"/>
          <w:szCs w:val="20"/>
          <w:color w:val="auto"/>
        </w:rPr>
        <w:t>development, product, service, technology, strategy, software, work of authorship or other Works (as defined below), trade secret, innovation, trademark, data, database, or the like, whether or not patentable, together with all intellectual</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property rights therein.</w:t>
      </w:r>
    </w:p>
    <w:p>
      <w:pPr>
        <w:spacing w:after="0" w:line="113" w:lineRule="exact"/>
        <w:rPr>
          <w:sz w:val="20"/>
          <w:szCs w:val="20"/>
          <w:color w:val="auto"/>
        </w:rPr>
      </w:pPr>
    </w:p>
    <w:p>
      <w:pPr>
        <w:jc w:val="both"/>
        <w:ind w:left="500" w:hanging="316"/>
        <w:spacing w:after="0" w:line="209" w:lineRule="auto"/>
        <w:tabs>
          <w:tab w:leader="none" w:pos="5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Works for Hire</w:t>
      </w:r>
      <w:r>
        <w:rPr>
          <w:rFonts w:ascii="Times New Roman" w:cs="Times New Roman" w:eastAsia="Times New Roman" w:hAnsi="Times New Roman"/>
          <w:sz w:val="20"/>
          <w:szCs w:val="20"/>
          <w:color w:val="auto"/>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Commencement Date),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(“Works”),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w:t>
      </w:r>
    </w:p>
    <w:p>
      <w:pPr>
        <w:spacing w:after="0" w:line="118" w:lineRule="exact"/>
        <w:rPr>
          <w:rFonts w:ascii="Times New Roman" w:cs="Times New Roman" w:eastAsia="Times New Roman" w:hAnsi="Times New Roman"/>
          <w:sz w:val="20"/>
          <w:szCs w:val="20"/>
          <w:color w:val="auto"/>
        </w:rPr>
      </w:pPr>
    </w:p>
    <w:p>
      <w:pPr>
        <w:jc w:val="both"/>
        <w:ind w:left="500" w:hanging="316"/>
        <w:spacing w:after="0" w:line="211" w:lineRule="auto"/>
        <w:tabs>
          <w:tab w:leader="none" w:pos="5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and after the term hereof, the Executive agrees to cooperate with the Company and its affiliates in any internal investigation, any administrative, regulatory, or judicial proceeding or any dispute with a third-party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spacing w:after="0" w:line="98" w:lineRule="exact"/>
        <w:rPr>
          <w:rFonts w:ascii="Times New Roman" w:cs="Times New Roman" w:eastAsia="Times New Roman" w:hAnsi="Times New Roman"/>
          <w:sz w:val="20"/>
          <w:szCs w:val="20"/>
          <w:color w:val="auto"/>
        </w:rPr>
      </w:pPr>
    </w:p>
    <w:p>
      <w:pPr>
        <w:jc w:val="both"/>
        <w:ind w:left="500" w:hanging="316"/>
        <w:spacing w:after="0" w:line="222" w:lineRule="auto"/>
        <w:tabs>
          <w:tab w:leader="none" w:pos="4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Requirement</w:t>
      </w:r>
      <w:r>
        <w:rPr>
          <w:rFonts w:ascii="Times New Roman" w:cs="Times New Roman" w:eastAsia="Times New Roman" w:hAnsi="Times New Roman"/>
          <w:sz w:val="20"/>
          <w:szCs w:val="20"/>
          <w:color w:val="auto"/>
        </w:rPr>
        <w:t>. Until the expiration of the period or periods for Restrictive Covenants (as applicable), the Executive shall, upon a reasonable request by the Company, give notice to the Company of any new business activity in which he is engaged. Such notice shall state the name and address of the individual, corporation, limited liability company, association, partnership, estate, trust and other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120"/>
          </w:cols>
          <w:pgMar w:left="1440" w:top="1440" w:right="339" w:bottom="1440" w:gutter="0" w:footer="0" w:header="0"/>
        </w:sectPr>
      </w:pPr>
    </w:p>
    <w:bookmarkStart w:id="83" w:name="page84"/>
    <w:bookmarkEnd w:id="83"/>
    <w:p>
      <w:pPr>
        <w:spacing w:after="0" w:line="122"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9"/>
          <w:szCs w:val="19"/>
          <w:color w:val="auto"/>
        </w:rPr>
        <w:t>organization, other than the Company or any of its affiliates (any such individual or entity being hereinafter referred to as</w:t>
      </w:r>
    </w:p>
    <w:p>
      <w:pPr>
        <w:spacing w:after="0" w:line="6" w:lineRule="exact"/>
        <w:rPr>
          <w:sz w:val="20"/>
          <w:szCs w:val="20"/>
          <w:color w:val="auto"/>
        </w:rPr>
      </w:pPr>
    </w:p>
    <w:p>
      <w:pPr>
        <w:ind w:left="964"/>
        <w:spacing w:after="0" w:line="204" w:lineRule="auto"/>
        <w:rPr>
          <w:sz w:val="20"/>
          <w:szCs w:val="20"/>
          <w:color w:val="auto"/>
        </w:rPr>
      </w:pPr>
      <w:r>
        <w:rPr>
          <w:rFonts w:ascii="Times New Roman" w:cs="Times New Roman" w:eastAsia="Times New Roman" w:hAnsi="Times New Roman"/>
          <w:sz w:val="20"/>
          <w:szCs w:val="20"/>
          <w:color w:val="auto"/>
        </w:rPr>
        <w:t>a “Person”) for whom such activity is undertaken and the nature of the Executive’s business relationship(s) and position(s) with such Person. The Executive shall provide the Company with such other pertinent information</w:t>
      </w:r>
    </w:p>
    <w:p>
      <w:pPr>
        <w:spacing w:after="0" w:line="1" w:lineRule="exact"/>
        <w:rPr>
          <w:sz w:val="20"/>
          <w:szCs w:val="20"/>
          <w:color w:val="auto"/>
        </w:rPr>
      </w:pPr>
    </w:p>
    <w:p>
      <w:pPr>
        <w:ind w:left="964"/>
        <w:spacing w:after="0" w:line="228" w:lineRule="auto"/>
        <w:rPr>
          <w:sz w:val="20"/>
          <w:szCs w:val="20"/>
          <w:color w:val="auto"/>
        </w:rPr>
      </w:pPr>
      <w:r>
        <w:rPr>
          <w:rFonts w:ascii="Times New Roman" w:cs="Times New Roman" w:eastAsia="Times New Roman" w:hAnsi="Times New Roman"/>
          <w:sz w:val="20"/>
          <w:szCs w:val="20"/>
          <w:color w:val="auto"/>
        </w:rPr>
        <w:t>concerning such business activity as the Company may reasonably request in order to determine the Executive’s continued compliance with the Restrictive Covenants.</w:t>
      </w:r>
    </w:p>
    <w:p>
      <w:pPr>
        <w:spacing w:after="0" w:line="95" w:lineRule="exact"/>
        <w:rPr>
          <w:sz w:val="20"/>
          <w:szCs w:val="20"/>
          <w:color w:val="auto"/>
        </w:rPr>
      </w:pPr>
    </w:p>
    <w:p>
      <w:pPr>
        <w:jc w:val="both"/>
        <w:ind w:left="964" w:hanging="316"/>
        <w:spacing w:after="0" w:line="211" w:lineRule="auto"/>
        <w:tabs>
          <w:tab w:leader="none" w:pos="9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agrees that the Company and its affiliates, in addition to any other legal or equitable remedies available to them, shall be entitled to seek preliminary and permanent injunctive relief against any breach or threatened breach by the Executive of any of the Restrictive Covenants, without having to post bond, and to seek specific performance of each of the terms thereof. The Restrictive Covenants are intended for the benefit of the Company and each of its affiliates. Each affiliate of the Company is an intended third-party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w:t>
      </w:r>
    </w:p>
    <w:p>
      <w:pPr>
        <w:spacing w:after="0" w:line="98" w:lineRule="exact"/>
        <w:rPr>
          <w:rFonts w:ascii="Times New Roman" w:cs="Times New Roman" w:eastAsia="Times New Roman" w:hAnsi="Times New Roman"/>
          <w:sz w:val="20"/>
          <w:szCs w:val="20"/>
          <w:color w:val="auto"/>
        </w:rPr>
      </w:pPr>
    </w:p>
    <w:p>
      <w:pPr>
        <w:jc w:val="both"/>
        <w:ind w:left="964" w:hanging="316"/>
        <w:spacing w:after="0" w:line="230" w:lineRule="auto"/>
        <w:tabs>
          <w:tab w:leader="none" w:pos="96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New Employer</w:t>
      </w:r>
      <w:r>
        <w:rPr>
          <w:rFonts w:ascii="Times New Roman" w:cs="Times New Roman" w:eastAsia="Times New Roman" w:hAnsi="Times New Roman"/>
          <w:sz w:val="20"/>
          <w:szCs w:val="20"/>
          <w:color w:val="auto"/>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p>
    <w:p>
      <w:pPr>
        <w:spacing w:after="0" w:line="9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4" w:firstLine="644"/>
        <w:spacing w:after="0" w:line="211" w:lineRule="auto"/>
        <w:tabs>
          <w:tab w:leader="none" w:pos="128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112" w:lineRule="exact"/>
        <w:rPr>
          <w:rFonts w:ascii="Times New Roman" w:cs="Times New Roman" w:eastAsia="Times New Roman" w:hAnsi="Times New Roman"/>
          <w:sz w:val="20"/>
          <w:szCs w:val="20"/>
          <w:color w:val="auto"/>
        </w:rPr>
      </w:pPr>
    </w:p>
    <w:p>
      <w:pPr>
        <w:jc w:val="both"/>
        <w:ind w:left="4" w:firstLine="644"/>
        <w:spacing w:after="0" w:line="222" w:lineRule="auto"/>
        <w:tabs>
          <w:tab w:leader="none" w:pos="13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584"/>
          </w:cols>
          <w:pgMar w:left="976" w:top="1440" w:right="339" w:bottom="1440" w:gutter="0" w:footer="0" w:header="0"/>
        </w:sectPr>
      </w:pPr>
    </w:p>
    <w:bookmarkStart w:id="84" w:name="page85"/>
    <w:bookmarkEnd w:id="84"/>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have the opportunity to reject the selection, within two business days of being notified of the selection, on the basis of that</w:t>
      </w:r>
    </w:p>
    <w:p>
      <w:pPr>
        <w:spacing w:after="0" w:line="215" w:lineRule="auto"/>
        <w:rPr>
          <w:sz w:val="20"/>
          <w:szCs w:val="20"/>
          <w:color w:val="auto"/>
        </w:rPr>
      </w:pPr>
      <w:r>
        <w:rPr>
          <w:rFonts w:ascii="Times New Roman" w:cs="Times New Roman" w:eastAsia="Times New Roman" w:hAnsi="Times New Roman"/>
          <w:sz w:val="19"/>
          <w:szCs w:val="19"/>
          <w:color w:val="auto"/>
        </w:rPr>
        <w:t>Determining Party’s having a conflict of interest or other reasonable basis, in which case the Company shall select an alternative firm among the 10 largest accounting firms in the United States or alternative independent qualified tax counsel, which shall become the</w:t>
      </w:r>
    </w:p>
    <w:p>
      <w:pPr>
        <w:spacing w:after="0" w:line="211" w:lineRule="auto"/>
        <w:rPr>
          <w:sz w:val="20"/>
          <w:szCs w:val="20"/>
          <w:color w:val="auto"/>
        </w:rPr>
      </w:pPr>
      <w:r>
        <w:rPr>
          <w:rFonts w:ascii="Times New Roman" w:cs="Times New Roman" w:eastAsia="Times New Roman" w:hAnsi="Times New Roman"/>
          <w:sz w:val="20"/>
          <w:szCs w:val="20"/>
          <w:color w:val="auto"/>
        </w:rPr>
        <w:t>Determining Party. Such Determining Party shall provide its determination (the “Determination”), together with detailed supporting</w:t>
      </w:r>
    </w:p>
    <w:p>
      <w:pPr>
        <w:spacing w:after="0" w:line="204" w:lineRule="auto"/>
        <w:rPr>
          <w:sz w:val="20"/>
          <w:szCs w:val="20"/>
          <w:color w:val="auto"/>
        </w:rPr>
      </w:pPr>
      <w:r>
        <w:rPr>
          <w:rFonts w:ascii="Times New Roman" w:cs="Times New Roman" w:eastAsia="Times New Roman" w:hAnsi="Times New Roman"/>
          <w:sz w:val="20"/>
          <w:szCs w:val="20"/>
          <w:color w:val="auto"/>
        </w:rPr>
        <w:t>calculations and documentation to the Company and Executive, within 10 business days of the termination of Executive’s employment or at such other time mutually agreed by the Company and Executive. If the Determining Party determines that no</w:t>
      </w:r>
    </w:p>
    <w:p>
      <w:pPr>
        <w:spacing w:after="0" w:line="211" w:lineRule="auto"/>
        <w:rPr>
          <w:sz w:val="20"/>
          <w:szCs w:val="20"/>
          <w:color w:val="auto"/>
        </w:rPr>
      </w:pPr>
      <w:r>
        <w:rPr>
          <w:rFonts w:ascii="Times New Roman" w:cs="Times New Roman" w:eastAsia="Times New Roman" w:hAnsi="Times New Roman"/>
          <w:sz w:val="20"/>
          <w:szCs w:val="20"/>
          <w:color w:val="auto"/>
        </w:rPr>
        <w:t>Excise Tax is payable by Executive with respect to the Total Payments, it shall furnish Executive with an opinion reasonably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acceptable to Executive that no Excise Tax will be imposed with respect to any such payments and, absent manifest error, such Determination shall be binding, final and conclusive upon the Company and Executive. If the Determining Party determines that an</w:t>
      </w:r>
    </w:p>
    <w:p>
      <w:pPr>
        <w:spacing w:after="0" w:line="211" w:lineRule="auto"/>
        <w:rPr>
          <w:sz w:val="20"/>
          <w:szCs w:val="20"/>
          <w:color w:val="auto"/>
        </w:rPr>
      </w:pPr>
      <w:r>
        <w:rPr>
          <w:rFonts w:ascii="Times New Roman" w:cs="Times New Roman" w:eastAsia="Times New Roman" w:hAnsi="Times New Roman"/>
          <w:sz w:val="20"/>
          <w:szCs w:val="20"/>
          <w:color w:val="auto"/>
        </w:rPr>
        <w:t>Excise Tax would be payable, the Company shall have the right to accept the Determination as to the extent of the reduction, if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pursuant to Section 8(a), or to have such Determination reviewed by another accounting firm selected by the Company, at the Company’s expense. If the two accounting firms do not agree, a third accounting firm shall be jointly chosen by Executive and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Company, in which case the determination of such third accounting firm shall be binding, final and conclusive upon the Company and Executive.</w:t>
      </w:r>
    </w:p>
    <w:p>
      <w:pPr>
        <w:spacing w:after="0" w:line="95" w:lineRule="exact"/>
        <w:rPr>
          <w:sz w:val="20"/>
          <w:szCs w:val="20"/>
          <w:color w:val="auto"/>
        </w:rPr>
      </w:pPr>
    </w:p>
    <w:p>
      <w:pPr>
        <w:jc w:val="both"/>
        <w:ind w:firstLine="644"/>
        <w:spacing w:after="0" w:line="212" w:lineRule="auto"/>
        <w:tabs>
          <w:tab w:leader="none" w:pos="128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notwithstanding any reduction described in this Section 8,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 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spacing w:after="0" w:line="115" w:lineRule="exact"/>
        <w:rPr>
          <w:rFonts w:ascii="Times New Roman" w:cs="Times New Roman" w:eastAsia="Times New Roman" w:hAnsi="Times New Roman"/>
          <w:sz w:val="20"/>
          <w:szCs w:val="20"/>
          <w:color w:val="auto"/>
        </w:rPr>
      </w:pPr>
    </w:p>
    <w:p>
      <w:pPr>
        <w:jc w:val="both"/>
        <w:ind w:firstLine="644"/>
        <w:spacing w:after="0" w:line="227" w:lineRule="auto"/>
        <w:tabs>
          <w:tab w:leader="none" w:pos="129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Section 8, if (i) there is a reduction in the Total Payments as described in this Section 8,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10" w:lineRule="exact"/>
        <w:rPr>
          <w:rFonts w:ascii="Times New Roman" w:cs="Times New Roman" w:eastAsia="Times New Roman" w:hAnsi="Times New Roman"/>
          <w:sz w:val="19"/>
          <w:szCs w:val="19"/>
          <w:color w:val="auto"/>
        </w:rPr>
      </w:pPr>
    </w:p>
    <w:p>
      <w:pPr>
        <w:jc w:val="both"/>
        <w:ind w:firstLine="644"/>
        <w:spacing w:after="0" w:line="216" w:lineRule="auto"/>
        <w:tabs>
          <w:tab w:leader="none" w:pos="128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a reduction of the Total Payments pursuant to Section 8(a), the Determining Party or a court of competent jurisdiction determines that the Total Payments were reduced to a greater extent than required under Section 8,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580"/>
          </w:cols>
          <w:pgMar w:left="980" w:top="1440" w:right="339" w:bottom="1440" w:gutter="0" w:footer="0" w:header="0"/>
        </w:sectPr>
      </w:pPr>
    </w:p>
    <w:bookmarkStart w:id="85" w:name="page86"/>
    <w:bookmarkEnd w:id="85"/>
    <w:p>
      <w:pPr>
        <w:spacing w:after="0" w:line="122" w:lineRule="exact"/>
        <w:rPr>
          <w:sz w:val="20"/>
          <w:szCs w:val="20"/>
          <w:color w:val="auto"/>
        </w:rPr>
      </w:pPr>
    </w:p>
    <w:p>
      <w:pPr>
        <w:jc w:val="both"/>
        <w:ind w:left="660" w:firstLine="644"/>
        <w:spacing w:after="0" w:line="215" w:lineRule="auto"/>
        <w:tabs>
          <w:tab w:leader="none" w:pos="195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Q&amp;A- 44 of the final regulations under Section 280G of the Code and/or exempt from the definition of the term “parachute payment” within the meaning of Q&amp;A-2(a) of the final regulations under Section 280G of the Code in accordance with Q&amp;A- 5(a) of the final regulations under Section 280G of the Code.</w:t>
      </w:r>
    </w:p>
    <w:p>
      <w:pPr>
        <w:spacing w:after="0" w:line="93"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Agreements</w:t>
      </w:r>
      <w:r>
        <w:rPr>
          <w:rFonts w:ascii="Times New Roman" w:cs="Times New Roman" w:eastAsia="Times New Roman" w:hAnsi="Times New Roman"/>
          <w:sz w:val="20"/>
          <w:szCs w:val="20"/>
          <w:color w:val="auto"/>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spacing w:after="0" w:line="106"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his employment or other service with the Company or any of its affiliates (or the termination thereof).</w:t>
      </w:r>
    </w:p>
    <w:p>
      <w:pPr>
        <w:spacing w:after="0" w:line="94" w:lineRule="exact"/>
        <w:rPr>
          <w:rFonts w:ascii="Times New Roman" w:cs="Times New Roman" w:eastAsia="Times New Roman" w:hAnsi="Times New Roman"/>
          <w:sz w:val="20"/>
          <w:szCs w:val="20"/>
          <w:color w:val="auto"/>
        </w:rPr>
      </w:pPr>
    </w:p>
    <w:p>
      <w:pPr>
        <w:ind w:firstLine="656"/>
        <w:spacing w:after="0"/>
        <w:tabs>
          <w:tab w:leader="none" w:pos="127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reduced by any tax or other amounts required to be withheld by the Company under applicable law.</w:t>
      </w:r>
    </w:p>
    <w:p>
      <w:pPr>
        <w:spacing w:after="0" w:line="107"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spacing w:after="0" w:line="10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94"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22" w:lineRule="exact"/>
        <w:rPr>
          <w:sz w:val="20"/>
          <w:szCs w:val="20"/>
          <w:color w:val="auto"/>
        </w:rPr>
      </w:pPr>
    </w:p>
    <w:p>
      <w:pPr>
        <w:jc w:val="both"/>
        <w:ind w:firstLine="656"/>
        <w:spacing w:after="0" w:line="226" w:lineRule="auto"/>
        <w:tabs>
          <w:tab w:leader="none" w:pos="12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spacing w:after="0" w:line="10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Executive, at his last known address on the books of the Company, with a copy to ; and</w:t>
      </w:r>
    </w:p>
    <w:p>
      <w:pPr>
        <w:spacing w:after="0" w:line="13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its principal place of business, attention, Secretary, with a copy to legal@awholdings.com; or</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such other address as either party may specify by notice to the other actually received.</w:t>
      </w:r>
    </w:p>
    <w:p>
      <w:pPr>
        <w:spacing w:after="0" w:line="134"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w:t>
      </w:r>
    </w:p>
    <w:p>
      <w:pPr>
        <w:spacing w:after="0" w:line="106"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and captions in this Agreement are for convenience only and in no way define or describe the scope or content of any provision of this Agreement.</w:t>
      </w:r>
    </w:p>
    <w:p>
      <w:pPr>
        <w:spacing w:after="0" w:line="93"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w:t>
      </w:r>
    </w:p>
    <w:p>
      <w:pPr>
        <w:spacing w:after="0" w:line="107"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WAIVER OF JURY TRIAL</w:t>
      </w:r>
      <w:r>
        <w:rPr>
          <w:rFonts w:ascii="Times New Roman" w:cs="Times New Roman" w:eastAsia="Times New Roman" w:hAnsi="Times New Roman"/>
          <w:sz w:val="20"/>
          <w:szCs w:val="20"/>
          <w:color w:val="auto"/>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w:t>
      </w:r>
    </w:p>
    <w:p>
      <w:pPr>
        <w:spacing w:after="0" w:line="113"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 Compliance</w:t>
      </w:r>
      <w:r>
        <w:rPr>
          <w:rFonts w:ascii="Times New Roman" w:cs="Times New Roman" w:eastAsia="Times New Roman" w:hAnsi="Times New Roman"/>
          <w:sz w:val="20"/>
          <w:szCs w:val="20"/>
          <w:color w:val="auto"/>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on the earlier of (A) the first regular payroll date of the seventh month following the Executive’s separation from service or (B)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10th business day following the Executive’s death (but not earlier than such payment would have been made absent such death). If the Executive’s termination of employment hereunder does not constitute a “separation from service” within the meaning of Code Section 409A,</w:t>
      </w:r>
    </w:p>
    <w:p>
      <w:pPr>
        <w:spacing w:after="0" w:line="222" w:lineRule="auto"/>
        <w:rPr>
          <w:sz w:val="20"/>
          <w:szCs w:val="20"/>
          <w:color w:val="auto"/>
        </w:rPr>
      </w:pPr>
      <w:r>
        <w:rPr>
          <w:rFonts w:ascii="Times New Roman" w:cs="Times New Roman" w:eastAsia="Times New Roman" w:hAnsi="Times New Roman"/>
          <w:sz w:val="19"/>
          <w:szCs w:val="19"/>
          <w:color w:val="auto"/>
        </w:rPr>
        <w:t>then any amounts payable hereunder on account of a termination of the Executive’s employment and which are subject to Code Section 409A</w:t>
      </w:r>
    </w:p>
    <w:p>
      <w:pPr>
        <w:jc w:val="both"/>
        <w:spacing w:after="0" w:line="215" w:lineRule="auto"/>
        <w:rPr>
          <w:sz w:val="20"/>
          <w:szCs w:val="20"/>
          <w:color w:val="auto"/>
        </w:rPr>
      </w:pPr>
      <w:r>
        <w:rPr>
          <w:rFonts w:ascii="Times New Roman" w:cs="Times New Roman" w:eastAsia="Times New Roman" w:hAnsi="Times New Roman"/>
          <w:sz w:val="19"/>
          <w:szCs w:val="19"/>
          <w:color w:val="auto"/>
        </w:rPr>
        <w:t>shall not be paid until the Executive has experienced a “separation from service” within the meaning of Code Section 409A. In addition, no reimbursement or in-kind benefit shall be subject to liquidation or exchange for another benefit and the amount available for reimbursement,</w:t>
      </w:r>
    </w:p>
    <w:p>
      <w:pPr>
        <w:spacing w:after="0" w:line="211" w:lineRule="auto"/>
        <w:rPr>
          <w:sz w:val="20"/>
          <w:szCs w:val="20"/>
          <w:color w:val="auto"/>
        </w:rPr>
      </w:pPr>
      <w:r>
        <w:rPr>
          <w:rFonts w:ascii="Times New Roman" w:cs="Times New Roman" w:eastAsia="Times New Roman" w:hAnsi="Times New Roman"/>
          <w:sz w:val="20"/>
          <w:szCs w:val="20"/>
          <w:color w:val="auto"/>
        </w:rPr>
        <w:t>or in-kind benefits provided, during any calendar year shall not affect the amount available for reimbursement, or in-kind benefits to be</w:t>
      </w:r>
    </w:p>
    <w:p>
      <w:pPr>
        <w:jc w:val="both"/>
        <w:spacing w:after="0" w:line="215" w:lineRule="auto"/>
        <w:rPr>
          <w:sz w:val="20"/>
          <w:szCs w:val="20"/>
          <w:color w:val="auto"/>
        </w:rPr>
      </w:pPr>
      <w:r>
        <w:rPr>
          <w:rFonts w:ascii="Times New Roman" w:cs="Times New Roman" w:eastAsia="Times New Roman" w:hAnsi="Times New Roman"/>
          <w:sz w:val="19"/>
          <w:szCs w:val="19"/>
          <w:color w:val="auto"/>
        </w:rPr>
        <w:t>provided, in a subsequent calendar year. Any reimbursement to which the Executive is entitled hereunder shall be made no later than the last day of the calendar year following the calendar year in which such expenses were incurred. Notwithstanding anything herein to the contrary,</w:t>
      </w:r>
    </w:p>
    <w:p>
      <w:pPr>
        <w:spacing w:after="0" w:line="222" w:lineRule="auto"/>
        <w:rPr>
          <w:sz w:val="20"/>
          <w:szCs w:val="20"/>
          <w:color w:val="auto"/>
        </w:rPr>
      </w:pPr>
      <w:r>
        <w:rPr>
          <w:rFonts w:ascii="Times New Roman" w:cs="Times New Roman" w:eastAsia="Times New Roman" w:hAnsi="Times New Roman"/>
          <w:sz w:val="19"/>
          <w:szCs w:val="19"/>
          <w:color w:val="auto"/>
        </w:rPr>
        <w:t>neither the Company nor any of its affiliates shall have any liability to the Executive or to any other person or entity if this Agreement is, or if</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payments and benefits provided in this Agreement that are intended to be exempt from or compliant with Code Section 409A are, not so exempt or compliant. Each payment payable hereunder shall be treated as a separate payment in a series of payments within the meaning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for purposes of, Code Section 409A.</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22" w:lineRule="exact"/>
        <w:rPr>
          <w:sz w:val="20"/>
          <w:szCs w:val="20"/>
          <w:color w:val="auto"/>
        </w:rPr>
      </w:pPr>
    </w:p>
    <w:p>
      <w:pPr>
        <w:ind w:right="620" w:firstLine="648"/>
        <w:spacing w:after="0"/>
        <w:rPr>
          <w:sz w:val="20"/>
          <w:szCs w:val="20"/>
          <w:color w:val="auto"/>
        </w:rPr>
      </w:pPr>
      <w:r>
        <w:rPr>
          <w:rFonts w:ascii="Times New Roman" w:cs="Times New Roman" w:eastAsia="Times New Roman" w:hAnsi="Times New Roman"/>
          <w:sz w:val="20"/>
          <w:szCs w:val="20"/>
          <w:color w:val="auto"/>
        </w:rPr>
        <w:t>IN WITNESS WHEREOF, this Agreement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EXECUTIVE</w:t>
            </w:r>
          </w:p>
        </w:tc>
        <w:tc>
          <w:tcPr>
            <w:tcW w:w="642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ASCEND WELLNESS HOLDINGS, INC.</w:t>
            </w:r>
          </w:p>
        </w:tc>
      </w:tr>
      <w:tr>
        <w:trPr>
          <w:trHeight w:val="527"/>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Samuel Brill</w:t>
            </w:r>
          </w:p>
        </w:tc>
        <w:tc>
          <w:tcPr>
            <w:tcW w:w="1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Abner Kurtin</w:t>
            </w:r>
          </w:p>
        </w:tc>
      </w:tr>
      <w:tr>
        <w:trPr>
          <w:trHeight w:val="247"/>
        </w:trPr>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Samuel Brill</w:t>
            </w:r>
          </w:p>
        </w:tc>
        <w:tc>
          <w:tcPr>
            <w:tcW w:w="1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Abner Kurtin</w:t>
            </w:r>
          </w:p>
        </w:tc>
      </w:tr>
      <w:tr>
        <w:trPr>
          <w:trHeight w:val="258"/>
        </w:trPr>
        <w:tc>
          <w:tcPr>
            <w:tcW w:w="4720" w:type="dxa"/>
            <w:vAlign w:val="bottom"/>
          </w:tcPr>
          <w:p>
            <w:pPr>
              <w:spacing w:after="0"/>
              <w:rPr>
                <w:sz w:val="22"/>
                <w:szCs w:val="22"/>
                <w:color w:val="auto"/>
              </w:rPr>
            </w:pPr>
          </w:p>
        </w:tc>
        <w:tc>
          <w:tcPr>
            <w:tcW w:w="1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Chairman of the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40"/>
          </w:cols>
          <w:pgMar w:left="320" w:top="1440" w:right="439" w:bottom="1440" w:gutter="0" w:footer="0" w:header="0"/>
        </w:sectPr>
      </w:pPr>
    </w:p>
    <w:bookmarkStart w:id="89" w:name="page90"/>
    <w:bookmarkEnd w:id="89"/>
    <w:p>
      <w:pPr>
        <w:spacing w:after="0" w:line="12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00" w:lineRule="exact"/>
        <w:rPr>
          <w:sz w:val="20"/>
          <w:szCs w:val="20"/>
          <w:color w:val="auto"/>
        </w:rPr>
      </w:pPr>
    </w:p>
    <w:p>
      <w:pPr>
        <w:spacing w:after="0" w:line="340" w:lineRule="exact"/>
        <w:rPr>
          <w:sz w:val="20"/>
          <w:szCs w:val="20"/>
          <w:color w:val="auto"/>
        </w:rPr>
      </w:pPr>
    </w:p>
    <w:p>
      <w:pPr>
        <w:ind w:left="328" w:hanging="328"/>
        <w:spacing w:after="0"/>
        <w:tabs>
          <w:tab w:leader="none" w:pos="32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12121"/>
        </w:rPr>
        <w:t>The closing of the current confidential M&amp;A transaction of The Firelands Company, LLC.</w:t>
      </w:r>
    </w:p>
    <w:p>
      <w:pPr>
        <w:spacing w:after="0" w:line="121"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54"/>
        </w:numPr>
        <w:rPr>
          <w:rFonts w:ascii="Times New Roman" w:cs="Times New Roman" w:eastAsia="Times New Roman" w:hAnsi="Times New Roman"/>
          <w:sz w:val="20"/>
          <w:szCs w:val="20"/>
          <w:color w:val="212121"/>
        </w:rPr>
      </w:pPr>
      <w:r>
        <w:rPr>
          <w:rFonts w:ascii="Times New Roman" w:cs="Times New Roman" w:eastAsia="Times New Roman" w:hAnsi="Times New Roman"/>
          <w:sz w:val="20"/>
          <w:szCs w:val="20"/>
          <w:color w:val="auto"/>
        </w:rPr>
        <w:t>Executive will remain Chairman of the Board of Invacare Holdings Corporation and continue to perform such duties until the closing of the sale of its North American operations and its Europe/Asia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888"/>
          </w:cols>
          <w:pgMar w:left="652" w:top="1440" w:right="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139" w:lineRule="exact"/>
        <w:rPr>
          <w:sz w:val="20"/>
          <w:szCs w:val="20"/>
          <w:color w:val="auto"/>
        </w:rPr>
      </w:pPr>
    </w:p>
    <w:p>
      <w:pPr>
        <w:jc w:val="both"/>
        <w:ind w:firstLine="746"/>
        <w:spacing w:after="0" w:line="215" w:lineRule="auto"/>
        <w:rPr>
          <w:sz w:val="20"/>
          <w:szCs w:val="20"/>
          <w:color w:val="auto"/>
        </w:rPr>
      </w:pPr>
      <w:r>
        <w:rPr>
          <w:rFonts w:ascii="Times New Roman" w:cs="Times New Roman" w:eastAsia="Times New Roman" w:hAnsi="Times New Roman"/>
          <w:sz w:val="20"/>
          <w:szCs w:val="20"/>
          <w:color w:val="auto"/>
        </w:rPr>
        <w:t>This Employment Agreement (this “Agreement”) dated as of August 26, 2024 (the “Effective Date”) is made and entered into by and between Ascend Wellness Holdings, Inc., a Delaware corporation with a principal place of business at 44 Whippany Road, Suite 101,</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Morristown, NJ 07960 (the “Company”), and Francis Perullo, an individual whose principal business address is in care of the Company at 44 Whippany Road, Suite 101, Morristown, NJ 07960 (the “Executive”).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WHEREAS, the Company formerly employed Executive as Executive Vice President, Corporate Affairs of the Company;</w:t>
      </w:r>
    </w:p>
    <w:p>
      <w:pPr>
        <w:spacing w:after="0" w:line="189" w:lineRule="exact"/>
        <w:rPr>
          <w:sz w:val="20"/>
          <w:szCs w:val="20"/>
          <w:color w:val="auto"/>
        </w:rPr>
      </w:pPr>
    </w:p>
    <w:p>
      <w:pPr>
        <w:ind w:right="320" w:firstLine="746"/>
        <w:spacing w:after="0" w:line="233" w:lineRule="auto"/>
        <w:rPr>
          <w:sz w:val="20"/>
          <w:szCs w:val="20"/>
          <w:color w:val="auto"/>
        </w:rPr>
      </w:pPr>
      <w:r>
        <w:rPr>
          <w:rFonts w:ascii="Times New Roman" w:cs="Times New Roman" w:eastAsia="Times New Roman" w:hAnsi="Times New Roman"/>
          <w:sz w:val="20"/>
          <w:szCs w:val="20"/>
          <w:color w:val="auto"/>
        </w:rPr>
        <w:t>WHEREAS, the Company and Executive wish to enter into a new employment relationship with one another in connection with Executive’s new role with the Company as President.</w:t>
      </w:r>
    </w:p>
    <w:p>
      <w:pPr>
        <w:spacing w:after="0" w:line="161" w:lineRule="exact"/>
        <w:rPr>
          <w:sz w:val="20"/>
          <w:szCs w:val="20"/>
          <w:color w:val="auto"/>
        </w:rPr>
      </w:pPr>
    </w:p>
    <w:p>
      <w:pPr>
        <w:ind w:right="260" w:firstLine="746"/>
        <w:spacing w:after="0"/>
        <w:rPr>
          <w:sz w:val="20"/>
          <w:szCs w:val="20"/>
          <w:color w:val="auto"/>
        </w:rPr>
      </w:pPr>
      <w:r>
        <w:rPr>
          <w:rFonts w:ascii="Times New Roman" w:cs="Times New Roman" w:eastAsia="Times New Roman" w:hAnsi="Times New Roman"/>
          <w:sz w:val="20"/>
          <w:szCs w:val="20"/>
          <w:color w:val="auto"/>
        </w:rPr>
        <w:t>WHEREAS, the parties desire to memorialize the terms of the Executive’s employment as President, on the terms and conditions hereinafter set forth.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189" w:lineRule="exact"/>
        <w:rPr>
          <w:sz w:val="20"/>
          <w:szCs w:val="20"/>
          <w:color w:val="auto"/>
        </w:rPr>
      </w:pPr>
    </w:p>
    <w:p>
      <w:pPr>
        <w:ind w:right="360" w:firstLine="747"/>
        <w:spacing w:after="0"/>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w:t>
      </w:r>
    </w:p>
    <w:p>
      <w:pPr>
        <w:spacing w:after="0" w:line="94" w:lineRule="exact"/>
        <w:rPr>
          <w:sz w:val="20"/>
          <w:szCs w:val="20"/>
          <w:color w:val="auto"/>
        </w:rPr>
      </w:pPr>
    </w:p>
    <w:p>
      <w:pPr>
        <w:ind w:firstLine="656"/>
        <w:spacing w:after="0"/>
        <w:tabs>
          <w:tab w:leader="none" w:pos="12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Subject to the terms and conditions set forth in this Agreement, the Company hereby offers, and the Executive hereby accepts, employment as President of the Company, commencing August 26, 2024 (the “Commencement Date”).</w:t>
      </w:r>
    </w:p>
    <w:p>
      <w:pPr>
        <w:spacing w:after="0" w:line="10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 Will</w:t>
      </w:r>
      <w:r>
        <w:rPr>
          <w:rFonts w:ascii="Times New Roman" w:cs="Times New Roman" w:eastAsia="Times New Roman" w:hAnsi="Times New Roman"/>
          <w:sz w:val="20"/>
          <w:szCs w:val="20"/>
          <w:color w:val="auto"/>
        </w:rPr>
        <w:t>. The Executive is an employee at will and nothing in this Agreement is intended to change that status in any way. As a result, the Executive and/or the Company can terminate the employment relationship at any time. The parties agree, however, that if the Company terminates the employment relationship without Cause or the employee resigns for Good Reason (as each term is defined herein), then the Executive shall be eligible to receive the Severance Benefits as defined in Section 5.</w:t>
      </w:r>
    </w:p>
    <w:p>
      <w:pPr>
        <w:spacing w:after="0" w:line="10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Capacity and Performance</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620" w:right="20" w:hanging="316"/>
        <w:spacing w:after="0" w:line="233" w:lineRule="auto"/>
        <w:tabs>
          <w:tab w:leader="none" w:pos="160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serve the Company as President, reporting directly to the Chief Executive Officer (the “CEO”) of the Company.</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26" w:lineRule="auto"/>
        <w:tabs>
          <w:tab w:leader="none" w:pos="16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be employed by the Company on a full-time and diligent basis and shall perform such duties and responsibilities on behalf of the Company as are customarily performed by a President of a company of comparable size and as may be reasonably designated from time to time by the CEO.</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12" w:lineRule="auto"/>
        <w:tabs>
          <w:tab w:leader="none" w:pos="160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not, directly or indirectly, render any material services of a business, commercial or professional nature to any person or entity other than the Company (or any affiliate thereof), whether for compensation or otherwise, without the prior written consent of the Company’s Board of Directors (the “Board”), which shall not be unreasonably withheld. For the avoidance of doubt, notwithstanding the foregoing, the Executive may (i) engage in the activities set forth on Exhibit A hereto so long as such activities do not (A) individually or in the aggregate, interfere with the performance of the Executive’s duties under this Agreement and (B) materially change in nature or scope of the Executive’s engagement after the Commencement Date, in which case the Executive shall not be permitted to continue such engagement without the prior written consent of the Board and (ii) engage in educational, charitable and civic activities and manage the Executive’s personal investments and affairs, in each case, so long as such activities (A) do not, individually or in the aggregate, interfere with the performance of the Executive’s duties under this Agreement and (B) are not contrary to the interests of</w:t>
      </w:r>
    </w:p>
    <w:p>
      <w:pPr>
        <w:sectPr>
          <w:pgSz w:w="11900" w:h="16838" w:orient="portrait"/>
          <w:cols w:equalWidth="0" w:num="1">
            <w:col w:w="11240"/>
          </w:cols>
          <w:pgMar w:left="320" w:top="114" w:right="339" w:bottom="1440" w:gutter="0" w:footer="0" w:header="0"/>
        </w:sectPr>
      </w:pPr>
    </w:p>
    <w:bookmarkStart w:id="91" w:name="page92"/>
    <w:bookmarkEnd w:id="91"/>
    <w:p>
      <w:pPr>
        <w:ind w:left="1620"/>
        <w:spacing w:after="0"/>
        <w:rPr>
          <w:sz w:val="20"/>
          <w:szCs w:val="20"/>
          <w:color w:val="auto"/>
        </w:rPr>
      </w:pPr>
      <w:r>
        <w:rPr>
          <w:rFonts w:ascii="Times New Roman" w:cs="Times New Roman" w:eastAsia="Times New Roman" w:hAnsi="Times New Roman"/>
          <w:sz w:val="20"/>
          <w:szCs w:val="20"/>
          <w:color w:val="auto"/>
        </w:rPr>
        <w:t>the Company or any of its affiliates or competitive with the Company or any of its affiliates.</w:t>
      </w:r>
    </w:p>
    <w:p>
      <w:pPr>
        <w:spacing w:after="0" w:line="135" w:lineRule="exact"/>
        <w:rPr>
          <w:sz w:val="20"/>
          <w:szCs w:val="20"/>
          <w:color w:val="auto"/>
        </w:rPr>
      </w:pPr>
    </w:p>
    <w:p>
      <w:pPr>
        <w:ind w:firstLine="656"/>
        <w:spacing w:after="0" w:line="233"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compensation for all services performed by the Executive under this Agreement and during the term hereof and subject to performance of the Executive’s duties and obligations to the Company pursuant to this Agreement:</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22" w:lineRule="auto"/>
        <w:tabs>
          <w:tab w:leader="none" w:pos="160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shall pay the Executive a base salary at the rate of $550,000 per annum (the “Base Salary”). The Executive’s base salary shall be payable in accordance with the payroll practices of the Company for its executives and subject to increase from time to time by the Board, in its sole discretion. The base salary set forth in this Section 4(a), as from time to time increased, is hereafter referred to as the “Base Salary.”</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3" w:lineRule="auto"/>
        <w:tabs>
          <w:tab w:leader="none" w:pos="16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Incentive Plan</w:t>
      </w:r>
      <w:r>
        <w:rPr>
          <w:rFonts w:ascii="Times New Roman" w:cs="Times New Roman" w:eastAsia="Times New Roman" w:hAnsi="Times New Roman"/>
          <w:sz w:val="20"/>
          <w:szCs w:val="20"/>
          <w:color w:val="auto"/>
        </w:rPr>
        <w:t>. For each complete fiscal year, the Executive shall be eligible to earn an annual performance-based bonus (the “Annual Bonus”). The Executive’s annual target bonus opportunity for each such fiscal year shall be based on the achievement of financial, operational, and strategic/individual objectives established by the Board, in its sole discretion. The terms of the Annual Bonus, including Executive’s financial, operational, and strategic/individual objectives, are subject to approval by the Board and/or its designees, and may be modified from time to time. All payouts are based on achieving such financial, operational, and strategic/individual objectives, are discretionary, and if such threshold performance objectives are not achieved for any fiscal year, then the Executive shall not receive an Annual Bonus for such fiscal year. Executive must be employed at the time of payout and payout may be made via any method of payment determined by the Board to include equity and/or cash.</w:t>
      </w:r>
    </w:p>
    <w:p>
      <w:pPr>
        <w:spacing w:after="0" w:line="107" w:lineRule="exact"/>
        <w:rPr>
          <w:rFonts w:ascii="Times New Roman" w:cs="Times New Roman" w:eastAsia="Times New Roman" w:hAnsi="Times New Roman"/>
          <w:sz w:val="20"/>
          <w:szCs w:val="20"/>
          <w:color w:val="auto"/>
        </w:rPr>
      </w:pPr>
    </w:p>
    <w:p>
      <w:pPr>
        <w:ind w:left="1620" w:hanging="316"/>
        <w:spacing w:after="0" w:line="233" w:lineRule="auto"/>
        <w:tabs>
          <w:tab w:leader="none" w:pos="160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Incentives</w:t>
      </w:r>
      <w:r>
        <w:rPr>
          <w:rFonts w:ascii="Times New Roman" w:cs="Times New Roman" w:eastAsia="Times New Roman" w:hAnsi="Times New Roman"/>
          <w:sz w:val="20"/>
          <w:szCs w:val="20"/>
          <w:color w:val="auto"/>
        </w:rPr>
        <w:t>. Executive shall be eligible to participate in the Company’s Long Term Incentive Program, starting in the 2025 fiscal year, the terms of which are subject to the Board or its designee’s discretion from year to year.</w:t>
      </w:r>
    </w:p>
    <w:p>
      <w:pPr>
        <w:spacing w:after="0" w:line="106" w:lineRule="exact"/>
        <w:rPr>
          <w:rFonts w:ascii="Times New Roman" w:cs="Times New Roman" w:eastAsia="Times New Roman" w:hAnsi="Times New Roman"/>
          <w:sz w:val="20"/>
          <w:szCs w:val="20"/>
          <w:color w:val="auto"/>
        </w:rPr>
      </w:pPr>
    </w:p>
    <w:p>
      <w:pPr>
        <w:ind w:left="1620" w:hanging="316"/>
        <w:spacing w:after="0" w:line="233" w:lineRule="auto"/>
        <w:tabs>
          <w:tab w:leader="none" w:pos="16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During the term hereof, the Executive shall be entitled to vacation, personal days, sick time and similar paid time off benefits in accordance with the applicable policies of the Company, as in effect from time to time.</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16" w:lineRule="auto"/>
        <w:tabs>
          <w:tab w:leader="none" w:pos="160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Benefits</w:t>
      </w:r>
      <w:r>
        <w:rPr>
          <w:rFonts w:ascii="Times New Roman" w:cs="Times New Roman" w:eastAsia="Times New Roman" w:hAnsi="Times New Roman"/>
          <w:sz w:val="20"/>
          <w:szCs w:val="20"/>
          <w:color w:val="auto"/>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“Insurance Benefits”).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w:t>
      </w:r>
    </w:p>
    <w:p>
      <w:pPr>
        <w:spacing w:after="0" w:line="108" w:lineRule="exact"/>
        <w:rPr>
          <w:rFonts w:ascii="Times New Roman" w:cs="Times New Roman" w:eastAsia="Times New Roman" w:hAnsi="Times New Roman"/>
          <w:sz w:val="20"/>
          <w:szCs w:val="20"/>
          <w:color w:val="auto"/>
        </w:rPr>
      </w:pPr>
    </w:p>
    <w:p>
      <w:pPr>
        <w:jc w:val="both"/>
        <w:ind w:left="1620" w:hanging="316"/>
        <w:spacing w:after="0" w:line="216" w:lineRule="auto"/>
        <w:tabs>
          <w:tab w:leader="none" w:pos="161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9" w:right="339" w:bottom="1440" w:gutter="0" w:footer="0" w:header="0"/>
        </w:sectPr>
      </w:pPr>
    </w:p>
    <w:bookmarkStart w:id="92" w:name="page93"/>
    <w:bookmarkEnd w:id="92"/>
    <w:p>
      <w:pPr>
        <w:ind w:firstLine="656"/>
        <w:spacing w:after="0"/>
        <w:tabs>
          <w:tab w:leader="none" w:pos="12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Resignation for Good Reason, and Severance Benefits</w:t>
      </w:r>
      <w:r>
        <w:rPr>
          <w:rFonts w:ascii="Times New Roman" w:cs="Times New Roman" w:eastAsia="Times New Roman" w:hAnsi="Times New Roman"/>
          <w:sz w:val="20"/>
          <w:szCs w:val="20"/>
          <w:color w:val="auto"/>
        </w:rPr>
        <w:t>. Notwithstanding the provisions of Section 2 hereof, the Executive’s employment hereunder shall end under the following circumstances:</w:t>
      </w:r>
    </w:p>
    <w:p>
      <w:pPr>
        <w:spacing w:after="0" w:line="93" w:lineRule="exact"/>
        <w:rPr>
          <w:rFonts w:ascii="Times New Roman" w:cs="Times New Roman" w:eastAsia="Times New Roman" w:hAnsi="Times New Roman"/>
          <w:sz w:val="20"/>
          <w:szCs w:val="20"/>
          <w:color w:val="auto"/>
        </w:rPr>
      </w:pPr>
    </w:p>
    <w:p>
      <w:pPr>
        <w:jc w:val="both"/>
        <w:ind w:left="1620" w:hanging="316"/>
        <w:spacing w:after="0" w:line="211" w:lineRule="auto"/>
        <w:tabs>
          <w:tab w:leader="none" w:pos="1609"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In the event of the Executive’s death during the term hereof, the Executive’s employment hereunder shall immediately and automatically terminate. In such event, the Company shall pay to the Executive’s designated beneficiary or, if no beneficiary has been designated by the Executive, to his estate, (i) the Base Salary earned but not paid through the date of termination (to be paid in accordance with the Company’s normal payroll policies or at such earlier time as required by applicable law), (ii) the value of any vacation time earned but not used through the date of termination (to be paid in accordance with the Company’s policies and applicable law), and (iii)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“Final Compensation”). In addition to Final Compensation, if the Executive’s employment terminates due to his death during the term hereof, the Executive’s estate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or his estate hereunder.</w:t>
      </w:r>
    </w:p>
    <w:p>
      <w:pPr>
        <w:spacing w:after="0" w:line="112"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2120" w:hanging="434"/>
        <w:spacing w:after="0" w:line="211" w:lineRule="auto"/>
        <w:tabs>
          <w:tab w:leader="none" w:pos="212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the Executive’s employment hereunder,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with or without reasonable accommodation, for any period of ninety (90) consecutive days or more, or one hundred eighty (180) days (whether or not consecutive) during any period of three hundred and sixty-five (365) consecutive calendar days. In the event of such termination, the Company shall pay to the Executive the Final Compensation and shall otherwise comply with the provisions of this Section 5(b). In addition to such Final Compensation, the Executive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hereunder.</w:t>
      </w:r>
    </w:p>
    <w:p>
      <w:pPr>
        <w:spacing w:after="0" w:line="111" w:lineRule="exact"/>
        <w:rPr>
          <w:rFonts w:ascii="Times New Roman" w:cs="Times New Roman" w:eastAsia="Times New Roman" w:hAnsi="Times New Roman"/>
          <w:sz w:val="20"/>
          <w:szCs w:val="20"/>
          <w:color w:val="auto"/>
        </w:rPr>
      </w:pPr>
    </w:p>
    <w:p>
      <w:pPr>
        <w:jc w:val="both"/>
        <w:ind w:left="2120" w:hanging="489"/>
        <w:spacing w:after="0" w:line="216" w:lineRule="auto"/>
        <w:tabs>
          <w:tab w:leader="none" w:pos="212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terminating the Executive’s employment hereunder, the Board may designate another employee to act in the Executive’s place during any period of the Executive’s disability. Notwithstanding any such designation, the Executive shall continue to receive the Base Salary in accordance with Section 4(a) and Insurance Benefits in accordance with Section 4(e), to the extent permitted by the then-current terms of the applicable benefit plans, until the Executive becomes eligible for long- term disability income benefits under the Company’s disability income plan (or any disability insurance policy of the Company).</w:t>
      </w:r>
    </w:p>
    <w:p>
      <w:pPr>
        <w:spacing w:after="0" w:line="108" w:lineRule="exact"/>
        <w:rPr>
          <w:rFonts w:ascii="Times New Roman" w:cs="Times New Roman" w:eastAsia="Times New Roman" w:hAnsi="Times New Roman"/>
          <w:sz w:val="20"/>
          <w:szCs w:val="20"/>
          <w:color w:val="auto"/>
        </w:rPr>
      </w:pPr>
    </w:p>
    <w:p>
      <w:pPr>
        <w:jc w:val="both"/>
        <w:ind w:left="2120" w:hanging="544"/>
        <w:spacing w:after="0" w:line="217" w:lineRule="auto"/>
        <w:tabs>
          <w:tab w:leader="none" w:pos="212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becomes eligible to receive disability income payments under the Company’s disability income plan (or any disability insurance policy of the Company), the Executive shall be entitled to receive Base Salary under Section 4(a) hereof less the amount of such disability income payments being made to the Executive, and shall continue to participate in Company benefit plans in accordance with Section 4(e) and as permitted by the terms of such plans, in each case, until the termination of his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93" w:name="page94"/>
    <w:bookmarkEnd w:id="93"/>
    <w:p>
      <w:pPr>
        <w:jc w:val="both"/>
        <w:ind w:left="1000" w:hanging="533"/>
        <w:spacing w:after="0" w:line="215" w:lineRule="auto"/>
        <w:tabs>
          <w:tab w:leader="none" w:pos="98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as to whether during any period the Executive is disabled through any illness, injury, accident or condition of either a physical or psychological nature so as to be unable to perform substantially all of his duties and responsibilities hereunder shall be made by a physician satisfactory to both the Executive (or his duly appointed guardian) and the Company, provided that if the Executive and the Company do not agree on a physician, the Executive and the Company shall each select a physician and these two together shall select a third physician, whose determination as to disability shall be binding on all parties. If the Executive fails to submit to such medical examination, the Company’s determination of the issue shall be binding on the Executive.</w:t>
      </w:r>
    </w:p>
    <w:p>
      <w:pPr>
        <w:spacing w:after="0" w:line="110" w:lineRule="exact"/>
        <w:rPr>
          <w:rFonts w:ascii="Times New Roman" w:cs="Times New Roman" w:eastAsia="Times New Roman" w:hAnsi="Times New Roman"/>
          <w:sz w:val="20"/>
          <w:szCs w:val="20"/>
          <w:color w:val="auto"/>
        </w:rPr>
      </w:pPr>
    </w:p>
    <w:p>
      <w:pPr>
        <w:jc w:val="both"/>
        <w:ind w:left="1000" w:hanging="479"/>
        <w:spacing w:after="0" w:line="227" w:lineRule="auto"/>
        <w:tabs>
          <w:tab w:leader="none" w:pos="987"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temporarily replaces Executive or transfers the Executive’s duties or responsibilities to another individual on account of the Executive’s inability to perform such duties due to an incapacity which is, or is reasonably expected to become, a Disability, then the Executive’s employment shall not be deemed terminated by the Company and Executive shall not be able to resign with Good Reason (as defined below) as a result thereof (for the avoidance of doubt, the Employee shall resume his employment under this Agreement upon his return from any such temporary inability to perform such duties or physical incapacity that does not become a Disability).</w:t>
      </w:r>
    </w:p>
    <w:p>
      <w:pPr>
        <w:spacing w:after="0" w:line="110" w:lineRule="exact"/>
        <w:rPr>
          <w:rFonts w:ascii="Times New Roman" w:cs="Times New Roman" w:eastAsia="Times New Roman" w:hAnsi="Times New Roman"/>
          <w:sz w:val="19"/>
          <w:szCs w:val="19"/>
          <w:color w:val="auto"/>
        </w:rPr>
      </w:pPr>
    </w:p>
    <w:p>
      <w:pPr>
        <w:jc w:val="both"/>
        <w:ind w:left="500" w:hanging="316"/>
        <w:spacing w:after="0" w:line="226" w:lineRule="auto"/>
        <w:tabs>
          <w:tab w:leader="none" w:pos="48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for Cause</w:t>
      </w:r>
      <w:r>
        <w:rPr>
          <w:rFonts w:ascii="Times New Roman" w:cs="Times New Roman" w:eastAsia="Times New Roman" w:hAnsi="Times New Roman"/>
          <w:sz w:val="20"/>
          <w:szCs w:val="20"/>
          <w:color w:val="auto"/>
        </w:rPr>
        <w:t>. The Company may terminate the Executive’s employment hereunder for Cause at any time upon notice to the Executive setting forth in reasonable detail the nature of such Cause. The following shall constitute “Cause” for termination:</w:t>
      </w:r>
    </w:p>
    <w:p>
      <w:pPr>
        <w:spacing w:after="0" w:line="106" w:lineRule="exact"/>
        <w:rPr>
          <w:rFonts w:ascii="Times New Roman" w:cs="Times New Roman" w:eastAsia="Times New Roman" w:hAnsi="Times New Roman"/>
          <w:sz w:val="20"/>
          <w:szCs w:val="20"/>
          <w:color w:val="auto"/>
        </w:rPr>
      </w:pPr>
    </w:p>
    <w:p>
      <w:pPr>
        <w:ind w:left="1000" w:hanging="434"/>
        <w:spacing w:after="0" w:line="233" w:lineRule="auto"/>
        <w:tabs>
          <w:tab w:leader="none" w:pos="100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or neglect by the Executive to perform the material duties of his employment or to follow the lawful directions of the Board (other than by reason of the Executive’s physical or mental illness or impairment);</w:t>
      </w:r>
    </w:p>
    <w:p>
      <w:pPr>
        <w:spacing w:after="0" w:line="106" w:lineRule="exact"/>
        <w:rPr>
          <w:rFonts w:ascii="Times New Roman" w:cs="Times New Roman" w:eastAsia="Times New Roman" w:hAnsi="Times New Roman"/>
          <w:sz w:val="20"/>
          <w:szCs w:val="20"/>
          <w:color w:val="auto"/>
        </w:rPr>
      </w:pPr>
    </w:p>
    <w:p>
      <w:pPr>
        <w:ind w:left="1000" w:hanging="489"/>
        <w:spacing w:after="0" w:line="233" w:lineRule="auto"/>
        <w:tabs>
          <w:tab w:leader="none" w:pos="100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non-performance by the Executive of such duties and responsibilities on behalf of the Company as are customarily performed by a President of a company of comparable size;</w:t>
      </w:r>
    </w:p>
    <w:p>
      <w:pPr>
        <w:spacing w:after="0" w:line="106" w:lineRule="exact"/>
        <w:rPr>
          <w:rFonts w:ascii="Times New Roman" w:cs="Times New Roman" w:eastAsia="Times New Roman" w:hAnsi="Times New Roman"/>
          <w:sz w:val="20"/>
          <w:szCs w:val="20"/>
          <w:color w:val="auto"/>
        </w:rPr>
      </w:pPr>
    </w:p>
    <w:p>
      <w:pPr>
        <w:ind w:left="1000" w:hanging="544"/>
        <w:spacing w:after="0"/>
        <w:tabs>
          <w:tab w:leader="none" w:pos="100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committing any act of fraud, embezzlement, misappropriation, or theft;</w:t>
      </w:r>
    </w:p>
    <w:p>
      <w:pPr>
        <w:spacing w:after="0" w:line="134" w:lineRule="exact"/>
        <w:rPr>
          <w:rFonts w:ascii="Times New Roman" w:cs="Times New Roman" w:eastAsia="Times New Roman" w:hAnsi="Times New Roman"/>
          <w:sz w:val="20"/>
          <w:szCs w:val="20"/>
          <w:color w:val="auto"/>
        </w:rPr>
      </w:pPr>
    </w:p>
    <w:p>
      <w:pPr>
        <w:ind w:left="980" w:hanging="513"/>
        <w:spacing w:after="0"/>
        <w:tabs>
          <w:tab w:leader="none" w:pos="9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violation of the Company’s policies;</w:t>
      </w:r>
    </w:p>
    <w:p>
      <w:pPr>
        <w:spacing w:after="0" w:line="121" w:lineRule="exact"/>
        <w:rPr>
          <w:rFonts w:ascii="Times New Roman" w:cs="Times New Roman" w:eastAsia="Times New Roman" w:hAnsi="Times New Roman"/>
          <w:sz w:val="20"/>
          <w:szCs w:val="20"/>
          <w:color w:val="auto"/>
        </w:rPr>
      </w:pPr>
    </w:p>
    <w:p>
      <w:pPr>
        <w:jc w:val="both"/>
        <w:ind w:left="1000" w:hanging="479"/>
        <w:spacing w:after="0" w:line="230" w:lineRule="auto"/>
        <w:tabs>
          <w:tab w:leader="none" w:pos="98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behavior or engagement in any acts that may interfere with the ability of the Company or any of its affiliates to maintain a license to harvest, cultivate, process, or sell cannabis or otherwise continue to operate its business;</w:t>
      </w:r>
    </w:p>
    <w:p>
      <w:pPr>
        <w:spacing w:after="0" w:line="94" w:lineRule="exact"/>
        <w:rPr>
          <w:rFonts w:ascii="Times New Roman" w:cs="Times New Roman" w:eastAsia="Times New Roman" w:hAnsi="Times New Roman"/>
          <w:sz w:val="20"/>
          <w:szCs w:val="20"/>
          <w:color w:val="auto"/>
        </w:rPr>
      </w:pPr>
    </w:p>
    <w:p>
      <w:pPr>
        <w:jc w:val="both"/>
        <w:ind w:left="1000" w:hanging="533"/>
        <w:spacing w:after="0" w:line="222" w:lineRule="auto"/>
        <w:tabs>
          <w:tab w:leader="none" w:pos="100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breach of any non-disclosure, non-disparagement, non- competition, non- solicitation, assignment of inventions agreement or other restrictive covenants set forth herein, other than the Executive’s inadvertent and immaterial breach of any non- competition or non-disclosure obligation that is not otherwise detrimental to the Company or any of its affiliates;</w:t>
      </w:r>
    </w:p>
    <w:p>
      <w:pPr>
        <w:spacing w:after="0" w:line="107" w:lineRule="exact"/>
        <w:rPr>
          <w:rFonts w:ascii="Times New Roman" w:cs="Times New Roman" w:eastAsia="Times New Roman" w:hAnsi="Times New Roman"/>
          <w:sz w:val="20"/>
          <w:szCs w:val="20"/>
          <w:color w:val="auto"/>
        </w:rPr>
      </w:pPr>
    </w:p>
    <w:p>
      <w:pPr>
        <w:jc w:val="both"/>
        <w:ind w:left="1000" w:hanging="588"/>
        <w:spacing w:after="0" w:line="215" w:lineRule="auto"/>
        <w:tabs>
          <w:tab w:leader="none" w:pos="100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conviction of a felony (including pleading guilty or nolo contendere to a felony) or commitment of other acts causing a material detriment to the reputation, the business or a business relationship of the Company or any of its affiliates; provided, however, that for the avoidance of doubt, no conviction or plea of nolo contendere of a felony or crime that occurs solely as a result of a violation of U.S. federal law concerning cannabis or the cannabis industry shall be deemed to constitute “Cause”, so long as (A) the acts, omissions, conduct or activity related to cannabis or the cannabis industry giving rise to any such conviction or plea of nolo contendere of a felony or crime could be reasonably believed to be in compliance with applicable state and local laws and (B) such conviction or plea of nolo contendere is not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20"/>
          </w:cols>
          <w:pgMar w:left="1440" w:top="1399" w:right="339" w:bottom="1440" w:gutter="0" w:footer="0" w:header="0"/>
        </w:sectPr>
      </w:pPr>
    </w:p>
    <w:bookmarkStart w:id="94" w:name="page95"/>
    <w:bookmarkEnd w:id="94"/>
    <w:p>
      <w:pPr>
        <w:ind w:left="2120"/>
        <w:spacing w:after="0"/>
        <w:rPr>
          <w:sz w:val="20"/>
          <w:szCs w:val="20"/>
          <w:color w:val="auto"/>
        </w:rPr>
      </w:pPr>
      <w:r>
        <w:rPr>
          <w:rFonts w:ascii="Times New Roman" w:cs="Times New Roman" w:eastAsia="Times New Roman" w:hAnsi="Times New Roman"/>
          <w:sz w:val="20"/>
          <w:szCs w:val="20"/>
          <w:color w:val="auto"/>
        </w:rPr>
        <w:t>to interfere with the ability of the Company or any of its affiliates to maintain a license to harvest, cultivate, process, or sell cannabis or otherwise continue to operate its business;</w:t>
      </w:r>
    </w:p>
    <w:p>
      <w:pPr>
        <w:spacing w:after="0" w:line="94" w:lineRule="exact"/>
        <w:rPr>
          <w:sz w:val="20"/>
          <w:szCs w:val="20"/>
          <w:color w:val="auto"/>
        </w:rPr>
      </w:pPr>
    </w:p>
    <w:p>
      <w:pPr>
        <w:jc w:val="both"/>
        <w:ind w:left="2120" w:hanging="643"/>
        <w:spacing w:after="0" w:line="215" w:lineRule="auto"/>
        <w:tabs>
          <w:tab w:leader="none" w:pos="21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engagement in dishonesty, unlawful conduct (other than solely as a result of a violation of U.S. federal law concerning cannabis or the cannabis industry, so long as (A) the acts, omissions, conduct or activity related to cannabis or the cannabis industry giving rise to such illegal conduct could be reasonably believed to be in compliance with applicable state and local laws and (B) such unlawful conduct is not likely to interfere with the ability of the Company or any of its affiliates to maintain a license to harvest, cultivate, process, or sell cannabis or otherwise continue to operate its business), or misconduct, which in each case is injurious (monetarily or otherwise) to the Company or its affiliates; or</w:t>
      </w:r>
    </w:p>
    <w:p>
      <w:pPr>
        <w:spacing w:after="0" w:line="110" w:lineRule="exact"/>
        <w:rPr>
          <w:rFonts w:ascii="Times New Roman" w:cs="Times New Roman" w:eastAsia="Times New Roman" w:hAnsi="Times New Roman"/>
          <w:sz w:val="20"/>
          <w:szCs w:val="20"/>
          <w:color w:val="auto"/>
        </w:rPr>
      </w:pPr>
    </w:p>
    <w:p>
      <w:pPr>
        <w:ind w:left="2120" w:hanging="533"/>
        <w:spacing w:after="0"/>
        <w:tabs>
          <w:tab w:leader="none" w:pos="21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breach of the terms of this Agreement.</w:t>
      </w:r>
    </w:p>
    <w:p>
      <w:pPr>
        <w:spacing w:after="0" w:line="135"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Upon the termination of the Executive’s employment hereunder for Cause, the Company shall have no further obligation hereunder to the Executive, other than for Final Compensation.</w:t>
      </w:r>
    </w:p>
    <w:p>
      <w:pPr>
        <w:spacing w:after="0" w:line="107" w:lineRule="exact"/>
        <w:rPr>
          <w:sz w:val="20"/>
          <w:szCs w:val="20"/>
          <w:color w:val="auto"/>
        </w:rPr>
      </w:pPr>
    </w:p>
    <w:p>
      <w:pPr>
        <w:jc w:val="both"/>
        <w:ind w:left="1620" w:hanging="316"/>
        <w:spacing w:after="0" w:line="208" w:lineRule="auto"/>
        <w:tabs>
          <w:tab w:leader="none" w:pos="16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Other than for Cause</w:t>
      </w:r>
      <w:r>
        <w:rPr>
          <w:rFonts w:ascii="Times New Roman" w:cs="Times New Roman" w:eastAsia="Times New Roman" w:hAnsi="Times New Roman"/>
          <w:sz w:val="20"/>
          <w:szCs w:val="20"/>
          <w:color w:val="auto"/>
        </w:rPr>
        <w:t>. The Company may terminate the Executive’s employment hereunder other than for Cause (and other than in connection with the Executive’s death or disability) at any time upon written notice to the Executive. In the event of such termination, then (i) the Company shall pay to the Executive the Final Compensation, (ii) the Company shall pay the Executive an amount equal to the sum of fifty-percent (50%) of the Base Salary earned by the Executive for the full fiscal year immediately preceding the fiscal year in which such termination occurs (the “</w:t>
      </w:r>
      <w:r>
        <w:rPr>
          <w:rFonts w:ascii="Times New Roman" w:cs="Times New Roman" w:eastAsia="Times New Roman" w:hAnsi="Times New Roman"/>
          <w:sz w:val="20"/>
          <w:szCs w:val="20"/>
          <w:u w:val="single" w:color="auto"/>
          <w:color w:val="auto"/>
        </w:rPr>
        <w:t>Termination Compensation</w:t>
      </w:r>
      <w:r>
        <w:rPr>
          <w:rFonts w:ascii="Times New Roman" w:cs="Times New Roman" w:eastAsia="Times New Roman" w:hAnsi="Times New Roman"/>
          <w:sz w:val="20"/>
          <w:szCs w:val="20"/>
          <w:color w:val="auto"/>
        </w:rPr>
        <w:t>”), payable in substantially equal installments in accordance with the Company’s normal payroll practices as in effect from time to time, over the six (6) month period immediately following the termination date (with the first payment to be made on the first payroll date following the effective date of the Employee Release (as defined below) and to include a catch-up to cover any payment that would have been made prior to such date had the Employee Release been effective on the termination date); provided that, if the period from the termination date through the last day that the payments could begin spans two calendar years, such payments shall commence in the second calendar year; provided further that if such termination date occurs prior to the conclusion of one full fiscal year of employment from the original hire date, it shall be assumed, for purposes of determining the Termination Compensation, that Executive earned one full fiscal year of his current Base Salary; provided, further, that, if (and only if) such termination date occurs within eighteen (18) months after a Change of Control Event (as defined below), then the Termination Compensation shall be increased to one-hundred percent (100%) of Executive’s Base Salary and shall be payable to the Executive in a lump sum payment on the first payroll date following the Effective date of the Employee Release (rather than in installments, as provided above in this clause (ii)) and any unvested Time-Vesting Initial RSUs shall vest, (iii) subject to any employee contribution applicable to the Executive as of immediately prior to the date of termination, the Company shall continue to pay the cost of the Executive’s participation in the Company’s medical and dental insurance plans for a period of six (6) months, provided that if the Executive’s continued participation in such plans would result in a violation of any non-discrimination rules or result in any fines, penalties or excise taxes to the Company or any of its affiliates or if the Executive is otherwise not eligible to continue participation in such plans under applicable law or plan terms, then, to the extent possible without resulting in such violation, fines, penalties or excise taxes, the Company shall instead make monthly cash payments to the Executive in an amount equal to the employer portion of the monthly insurance premiums that would have been applicable had the Executive been eligible to continue such participation (the benefit described in this clause (iii),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95" w:name="page96"/>
    <w:bookmarkEnd w:id="95"/>
    <w:p>
      <w:pPr>
        <w:ind w:left="1620"/>
        <w:spacing w:after="0"/>
        <w:rPr>
          <w:sz w:val="20"/>
          <w:szCs w:val="20"/>
          <w:color w:val="auto"/>
        </w:rPr>
      </w:pPr>
      <w:r>
        <w:rPr>
          <w:rFonts w:ascii="Times New Roman" w:cs="Times New Roman" w:eastAsia="Times New Roman" w:hAnsi="Times New Roman"/>
          <w:sz w:val="20"/>
          <w:szCs w:val="20"/>
          <w:color w:val="auto"/>
        </w:rPr>
        <w:t>“Benefit Continuation”) (items (i) – (iii) collectively shall be defined as the “Severance Benefits”).</w:t>
      </w:r>
    </w:p>
    <w:p>
      <w:pPr>
        <w:spacing w:after="0" w:line="135" w:lineRule="exact"/>
        <w:rPr>
          <w:sz w:val="20"/>
          <w:szCs w:val="20"/>
          <w:color w:val="auto"/>
        </w:rPr>
      </w:pPr>
    </w:p>
    <w:p>
      <w:pPr>
        <w:ind w:left="1620"/>
        <w:spacing w:after="0" w:line="227" w:lineRule="auto"/>
        <w:rPr>
          <w:sz w:val="20"/>
          <w:szCs w:val="20"/>
          <w:color w:val="auto"/>
        </w:rPr>
      </w:pPr>
      <w:r>
        <w:rPr>
          <w:rFonts w:ascii="Times New Roman" w:cs="Times New Roman" w:eastAsia="Times New Roman" w:hAnsi="Times New Roman"/>
          <w:sz w:val="19"/>
          <w:szCs w:val="19"/>
          <w:color w:val="auto"/>
        </w:rPr>
        <w:t>For purposes of this Agreement, “Change of Control Event” shall mean the consummation, after the Commencement Date, of (i) the sale of all or substantially all of the Company’s assets or at least a majority of voting power of the capital</w:t>
      </w:r>
    </w:p>
    <w:p>
      <w:pPr>
        <w:ind w:left="1620"/>
        <w:spacing w:after="0" w:line="222" w:lineRule="auto"/>
        <w:rPr>
          <w:sz w:val="20"/>
          <w:szCs w:val="20"/>
          <w:color w:val="auto"/>
        </w:rPr>
      </w:pPr>
      <w:r>
        <w:rPr>
          <w:rFonts w:ascii="Times New Roman" w:cs="Times New Roman" w:eastAsia="Times New Roman" w:hAnsi="Times New Roman"/>
          <w:sz w:val="19"/>
          <w:szCs w:val="19"/>
          <w:color w:val="auto"/>
        </w:rPr>
        <w:t>stock of the Company, (ii) any liquidation, dissolution or winding up of the Company, or (iii) the merger or consolidation</w:t>
      </w:r>
    </w:p>
    <w:p>
      <w:pPr>
        <w:spacing w:after="0" w:line="1" w:lineRule="exact"/>
        <w:rPr>
          <w:sz w:val="20"/>
          <w:szCs w:val="20"/>
          <w:color w:val="auto"/>
        </w:rPr>
      </w:pPr>
    </w:p>
    <w:p>
      <w:pPr>
        <w:ind w:left="1620"/>
        <w:spacing w:after="0" w:line="204" w:lineRule="auto"/>
        <w:rPr>
          <w:sz w:val="20"/>
          <w:szCs w:val="20"/>
          <w:color w:val="auto"/>
        </w:rPr>
      </w:pPr>
      <w:r>
        <w:rPr>
          <w:rFonts w:ascii="Times New Roman" w:cs="Times New Roman" w:eastAsia="Times New Roman" w:hAnsi="Times New Roman"/>
          <w:sz w:val="20"/>
          <w:szCs w:val="20"/>
          <w:color w:val="auto"/>
        </w:rPr>
        <w:t>of the Company with or into another entity, except a merger or consolidation in which the holders of capital stock of the Company immediately prior to such merger or consolidation continue to hold at least 50% of the voting power of the</w:t>
      </w:r>
    </w:p>
    <w:p>
      <w:pPr>
        <w:ind w:left="1620"/>
        <w:spacing w:after="0" w:line="211" w:lineRule="auto"/>
        <w:rPr>
          <w:sz w:val="20"/>
          <w:szCs w:val="20"/>
          <w:color w:val="auto"/>
        </w:rPr>
      </w:pPr>
      <w:r>
        <w:rPr>
          <w:rFonts w:ascii="Times New Roman" w:cs="Times New Roman" w:eastAsia="Times New Roman" w:hAnsi="Times New Roman"/>
          <w:sz w:val="20"/>
          <w:szCs w:val="20"/>
          <w:color w:val="auto"/>
        </w:rPr>
        <w:t>capital stock of the Company or the surviving or acquiring entity, as applicable; provided, however, that no event</w:t>
      </w:r>
    </w:p>
    <w:p>
      <w:pPr>
        <w:spacing w:after="0" w:line="1" w:lineRule="exact"/>
        <w:rPr>
          <w:sz w:val="20"/>
          <w:szCs w:val="20"/>
          <w:color w:val="auto"/>
        </w:rPr>
      </w:pPr>
    </w:p>
    <w:p>
      <w:pPr>
        <w:ind w:left="1620"/>
        <w:spacing w:after="0" w:line="221" w:lineRule="auto"/>
        <w:rPr>
          <w:sz w:val="20"/>
          <w:szCs w:val="20"/>
          <w:color w:val="auto"/>
        </w:rPr>
      </w:pPr>
      <w:r>
        <w:rPr>
          <w:rFonts w:ascii="Times New Roman" w:cs="Times New Roman" w:eastAsia="Times New Roman" w:hAnsi="Times New Roman"/>
          <w:sz w:val="20"/>
          <w:szCs w:val="20"/>
          <w:color w:val="auto"/>
        </w:rPr>
        <w:t>described in the foregoing clauses (i), (ii) and (iii) shall constitute a Change of Control Event for purposes of this Agreement unless it satisfies the requirements of Treasury Regulation Section 1.409A-3(i)(5)(v) or (vii).</w:t>
      </w:r>
    </w:p>
    <w:p>
      <w:pPr>
        <w:spacing w:after="0" w:line="108" w:lineRule="exact"/>
        <w:rPr>
          <w:sz w:val="20"/>
          <w:szCs w:val="20"/>
          <w:color w:val="auto"/>
        </w:rPr>
      </w:pPr>
    </w:p>
    <w:p>
      <w:pPr>
        <w:jc w:val="both"/>
        <w:ind w:left="1620" w:hanging="316"/>
        <w:spacing w:after="0" w:line="211" w:lineRule="auto"/>
        <w:tabs>
          <w:tab w:leader="none" w:pos="1609"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for Good Reason</w:t>
      </w:r>
      <w:r>
        <w:rPr>
          <w:rFonts w:ascii="Times New Roman" w:cs="Times New Roman" w:eastAsia="Times New Roman" w:hAnsi="Times New Roman"/>
          <w:sz w:val="20"/>
          <w:szCs w:val="20"/>
          <w:color w:val="auto"/>
        </w:rPr>
        <w:t>. Executive may terminate this Agreement at any time for Good Reason, provided that the Company shall have thirty (30) days from such notice of termination in which to cure (if curable) any act or omission constituting Good Reason pursuant to subsections (i) to (iv) below prior to the effective termination date. If the Company fails to cure the act or omission constituting Good Reason, Executive shall be entitled to the Severance Benefits. For purposes of this Agreement, “Good Reason” means: (i) any material reduction in the Executive’s Base Salary other than in connection with a general reduction in base salaries that affects all similarly situated executives in substantially the same proportions; (ii) any material reduction in the Executive’s target Annual Bonus (other than solely as a result of a reduction in Base Salary); (iii) any material diminution in the Executive’s responsibilities or authority within the Company so as to fundamentally change the nature and extent of the job other than that which occurs as a result of a Change of Control Event; (iv); and any failure by the Company to comply with any material provision of this Agreement that remains uncured after thirty (30) days.</w:t>
      </w:r>
    </w:p>
    <w:p>
      <w:pPr>
        <w:spacing w:after="0" w:line="111" w:lineRule="exact"/>
        <w:rPr>
          <w:rFonts w:ascii="Times New Roman" w:cs="Times New Roman" w:eastAsia="Times New Roman" w:hAnsi="Times New Roman"/>
          <w:sz w:val="20"/>
          <w:szCs w:val="20"/>
          <w:color w:val="auto"/>
        </w:rPr>
      </w:pPr>
    </w:p>
    <w:p>
      <w:pPr>
        <w:jc w:val="both"/>
        <w:ind w:left="1620" w:hanging="316"/>
        <w:spacing w:after="0" w:line="211" w:lineRule="auto"/>
        <w:tabs>
          <w:tab w:leader="none" w:pos="161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the Company to make the payments and provide the benefits to the Executive under Section 5 (other than Final Compensation) is conditioned, however, upon the Executive (or his estate or legal representative, as applicable) signing a general release of claims and covenant not to sue (the “Employee Release”) within twenty-one (21) days (or such greater period as the Company may specify) (the “Release Period”) following the date of termination of employment and upon the Executive (or his estate or legal representative, as applicable) not revoking the Employee Release during the seven (7) day revocation period following the execution of the Employee Release (the “Revocation Period”). Notwithstanding the foregoing, if payment of Termination Compensation and the Benefit Continuation could commence in more than one taxable year based on when the Employee Release could become effective, then to the extent required by Section 409A of the Code, any such payments that would have been made during the calendar year in which the Executive’s employment terminates shall instead be withheld and paid on the first payroll date in the calendar year immediately after the calendar year in which the Executive’s employment terminates, with all remaining payments to be made as if no such delay had occurred.</w:t>
      </w:r>
    </w:p>
    <w:p>
      <w:pPr>
        <w:spacing w:after="0" w:line="111"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provisions of this Section 6 shall apply to a termination of the Executive’s employment with the Company hereunder, whether due to the expiration of the term hereof, pursuant to Section 5 or otherwise.</w:t>
      </w:r>
    </w:p>
    <w:p>
      <w:pPr>
        <w:spacing w:after="0" w:line="93" w:lineRule="exact"/>
        <w:rPr>
          <w:rFonts w:ascii="Times New Roman" w:cs="Times New Roman" w:eastAsia="Times New Roman" w:hAnsi="Times New Roman"/>
          <w:sz w:val="20"/>
          <w:szCs w:val="20"/>
          <w:color w:val="auto"/>
        </w:rPr>
      </w:pPr>
    </w:p>
    <w:p>
      <w:pPr>
        <w:jc w:val="both"/>
        <w:ind w:left="1620" w:hanging="316"/>
        <w:spacing w:after="0" w:line="222" w:lineRule="auto"/>
        <w:tabs>
          <w:tab w:leader="none" w:pos="160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Company of any applicable Final Compensation, Termination Compensation, Benefit Continuation, and/or any other amounts or benefits that may be due the Executive in each case under the applicable termination provision of Section 5 shall constitute the entire obligation of the Company to the Executive, and the Executive shall not be entitled to additional payments or benefits under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9" w:right="339" w:bottom="1440" w:gutter="0" w:footer="0" w:header="0"/>
        </w:sectPr>
      </w:pPr>
    </w:p>
    <w:bookmarkStart w:id="96" w:name="page97"/>
    <w:bookmarkEnd w:id="96"/>
    <w:p>
      <w:pPr>
        <w:ind w:left="1620"/>
        <w:spacing w:after="0"/>
        <w:rPr>
          <w:sz w:val="20"/>
          <w:szCs w:val="20"/>
          <w:color w:val="auto"/>
        </w:rPr>
      </w:pPr>
      <w:r>
        <w:rPr>
          <w:rFonts w:ascii="Times New Roman" w:cs="Times New Roman" w:eastAsia="Times New Roman" w:hAnsi="Times New Roman"/>
          <w:sz w:val="20"/>
          <w:szCs w:val="20"/>
          <w:color w:val="auto"/>
        </w:rPr>
        <w:t>severance agreement or executive severance plan of the Company. Upon request of the Company, the Executive shall</w:t>
      </w:r>
    </w:p>
    <w:p>
      <w:pPr>
        <w:ind w:left="1620"/>
        <w:spacing w:after="0" w:line="221" w:lineRule="auto"/>
        <w:rPr>
          <w:sz w:val="20"/>
          <w:szCs w:val="20"/>
          <w:color w:val="auto"/>
        </w:rPr>
      </w:pPr>
      <w:r>
        <w:rPr>
          <w:rFonts w:ascii="Times New Roman" w:cs="Times New Roman" w:eastAsia="Times New Roman" w:hAnsi="Times New Roman"/>
          <w:sz w:val="20"/>
          <w:szCs w:val="20"/>
          <w:color w:val="auto"/>
        </w:rPr>
        <w:t>promptly give the Company notice of all facts necessary for the Company to determine the amount and duration of its obligations in connection with any termination pursuant to Section 5 hereof.</w:t>
      </w:r>
    </w:p>
    <w:p>
      <w:pPr>
        <w:spacing w:after="0" w:line="108" w:lineRule="exact"/>
        <w:rPr>
          <w:sz w:val="20"/>
          <w:szCs w:val="20"/>
          <w:color w:val="auto"/>
        </w:rPr>
      </w:pPr>
    </w:p>
    <w:p>
      <w:pPr>
        <w:jc w:val="both"/>
        <w:ind w:left="1620" w:hanging="316"/>
        <w:spacing w:after="0" w:line="226" w:lineRule="auto"/>
        <w:tabs>
          <w:tab w:leader="none" w:pos="16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Benefit Continuation, all benefits shall terminate pursuant to the terms of the applicable benefit plans based on the date of termination of the Executive’s employment without regard to any continuation of any applicable Termination Compensation or other payment to the Executive following such date of termination.</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10" w:lineRule="auto"/>
        <w:tabs>
          <w:tab w:leader="none" w:pos="160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of this Agreement shall survive any termination of Executive’s employment hereunder if so provided herein or if necessary or desirable to accomplish the purposes of other surviving provisions, including without limitation the Restrictive Covenants (as defined below). The obligation of the Company to make payments and provide benefits to or on behalf of the Executive under 5(b), 5(d), 5(e) or 5(f) hereof (other than the Final Compensation) is expressly conditioned upon the Executive’s continued compliance with the Restrictive Covenants; provided that (i) the Company may not discontinue any such payments and benefits (or require repayment of any such payments or benefits already provided to the Executive) unless the Company has provided written notice to the Executive setting forth in reasonable detail the nature of such non-compliance and, if the nature of such non-compliance is such that it is capable of being remedied by the Executive without any damage to the Company, as determined by the Board, the Executive shall have failed to remedy such non-compliance within ten (10) days following receipt of such notice (it being understood that if the nature of such non-compliance is such that it is not capable of being remedied by the Executive without any damage to the Company, as determined by the Board, the Company may discontinue such payments and benefits at such time as it provides such written notice to the Executive) and (ii) to the extent curable, the Company may suspend or discontinue such payments or benefits thereafter only during such period as such non-compliance continues. The Executive recognizes that, except as expressly provided in Section 5, no compensation is earned after termination of employment.</w:t>
      </w:r>
    </w:p>
    <w:p>
      <w:pPr>
        <w:spacing w:after="0" w:line="113" w:lineRule="exact"/>
        <w:rPr>
          <w:rFonts w:ascii="Times New Roman" w:cs="Times New Roman" w:eastAsia="Times New Roman" w:hAnsi="Times New Roman"/>
          <w:sz w:val="20"/>
          <w:szCs w:val="20"/>
          <w:color w:val="auto"/>
        </w:rPr>
      </w:pPr>
    </w:p>
    <w:p>
      <w:pPr>
        <w:jc w:val="both"/>
        <w:ind w:firstLine="656"/>
        <w:spacing w:after="0" w:line="213" w:lineRule="auto"/>
        <w:tabs>
          <w:tab w:leader="none" w:pos="129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As an inducement and as essential consideration for the Company to enter into this Agreement, and in exchange for other good and valuable consideration, the Executive hereby agrees to the restrictive covenants contained in this Section 7 (the “Restrictive Covenants”).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“Company” and “affiliate” shall also refer to the predecessors and successors of the Company and any of its affiliates (as the case may be).</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2" w:lineRule="auto"/>
        <w:tabs>
          <w:tab w:leader="none" w:pos="160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4" w:right="339" w:bottom="1440" w:gutter="0" w:footer="0" w:header="0"/>
        </w:sectPr>
      </w:pPr>
    </w:p>
    <w:bookmarkStart w:id="97" w:name="page98"/>
    <w:bookmarkEnd w:id="97"/>
    <w:p>
      <w:pPr>
        <w:jc w:val="both"/>
        <w:ind w:left="500" w:hanging="316"/>
        <w:spacing w:after="0" w:line="213" w:lineRule="auto"/>
        <w:tabs>
          <w:tab w:leader="none" w:pos="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w:t>
      </w:r>
    </w:p>
    <w:p>
      <w:pPr>
        <w:spacing w:after="0" w:line="107" w:lineRule="exact"/>
        <w:rPr>
          <w:rFonts w:ascii="Times New Roman" w:cs="Times New Roman" w:eastAsia="Times New Roman" w:hAnsi="Times New Roman"/>
          <w:sz w:val="20"/>
          <w:szCs w:val="20"/>
          <w:color w:val="auto"/>
        </w:rPr>
      </w:pPr>
    </w:p>
    <w:p>
      <w:pPr>
        <w:jc w:val="both"/>
        <w:ind w:left="500" w:hanging="316"/>
        <w:spacing w:after="0" w:line="210" w:lineRule="auto"/>
        <w:tabs>
          <w:tab w:leader="none" w:pos="48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xml:space="preserve"> During the period commencing on the Commencement Date and ending on the date that is six (6) months after the Termination Date, regardless of the reason for the Executive’s termination of employment and regardless of who initiates such termination (such period, the “Non-Competition Period”),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 or has taken steps to become, competitive with the current business, activities, 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otherwise approved by the Board at any time prior to the Termination Date (the “Competitive Business”).</w:t>
      </w:r>
    </w:p>
    <w:p>
      <w:pPr>
        <w:spacing w:after="0" w:line="113" w:lineRule="exact"/>
        <w:rPr>
          <w:rFonts w:ascii="Times New Roman" w:cs="Times New Roman" w:eastAsia="Times New Roman" w:hAnsi="Times New Roman"/>
          <w:sz w:val="20"/>
          <w:szCs w:val="20"/>
          <w:color w:val="auto"/>
        </w:rPr>
      </w:pPr>
    </w:p>
    <w:p>
      <w:pPr>
        <w:jc w:val="both"/>
        <w:ind w:left="500" w:hanging="316"/>
        <w:spacing w:after="0" w:line="221" w:lineRule="auto"/>
        <w:tabs>
          <w:tab w:leader="none" w:pos="5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7(d) shall be violated by truthful statements (x) made to any governmental authority, (y) which are in connection with legal process, required governmental testimony or filings, or administrative or arbitral proceedings (including, without limitation, depositions in connection with such proceedings) or (z) made in performance reviews.</w:t>
      </w:r>
    </w:p>
    <w:p>
      <w:pPr>
        <w:spacing w:after="0" w:line="112" w:lineRule="exact"/>
        <w:rPr>
          <w:rFonts w:ascii="Times New Roman" w:cs="Times New Roman" w:eastAsia="Times New Roman" w:hAnsi="Times New Roman"/>
          <w:sz w:val="19"/>
          <w:szCs w:val="19"/>
          <w:color w:val="auto"/>
        </w:rPr>
      </w:pPr>
    </w:p>
    <w:p>
      <w:pPr>
        <w:ind w:left="500" w:hanging="316"/>
        <w:spacing w:after="0"/>
        <w:tabs>
          <w:tab w:leader="none" w:pos="48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Return of Property</w:t>
      </w:r>
      <w:r>
        <w:rPr>
          <w:rFonts w:ascii="Times New Roman" w:cs="Times New Roman" w:eastAsia="Times New Roman" w:hAnsi="Times New Roman"/>
          <w:sz w:val="20"/>
          <w:szCs w:val="20"/>
          <w:color w:val="auto"/>
        </w:rPr>
        <w:t>. During the term hereof and at all times thereafter, the Executive shall not, without the prior express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120"/>
          </w:cols>
          <w:pgMar w:left="1440" w:top="1399" w:right="339" w:bottom="1440" w:gutter="0" w:footer="0" w:header="0"/>
        </w:sectPr>
      </w:pPr>
    </w:p>
    <w:bookmarkStart w:id="98" w:name="page99"/>
    <w:bookmarkEnd w:id="98"/>
    <w:p>
      <w:pPr>
        <w:ind w:left="500"/>
        <w:spacing w:after="0"/>
        <w:rPr>
          <w:sz w:val="20"/>
          <w:szCs w:val="20"/>
          <w:color w:val="auto"/>
        </w:rPr>
      </w:pPr>
      <w:r>
        <w:rPr>
          <w:rFonts w:ascii="Times New Roman" w:cs="Times New Roman" w:eastAsia="Times New Roman" w:hAnsi="Times New Roman"/>
          <w:sz w:val="20"/>
          <w:szCs w:val="20"/>
          <w:color w:val="auto"/>
        </w:rPr>
        <w:t>Company, directly or indirectly, use on the Executive’s behalf or on behalf of any other person or entity, or divulge,</w:t>
      </w:r>
    </w:p>
    <w:p>
      <w:pPr>
        <w:ind w:left="500"/>
        <w:spacing w:after="0" w:line="204" w:lineRule="auto"/>
        <w:rPr>
          <w:sz w:val="20"/>
          <w:szCs w:val="20"/>
          <w:color w:val="auto"/>
        </w:rPr>
      </w:pPr>
      <w:r>
        <w:rPr>
          <w:rFonts w:ascii="Times New Roman" w:cs="Times New Roman" w:eastAsia="Times New Roman" w:hAnsi="Times New Roman"/>
          <w:sz w:val="20"/>
          <w:szCs w:val="20"/>
          <w:color w:val="auto"/>
        </w:rPr>
        <w:t>disclose or make available or accessible to any person or entity, any Confidential Information (as defined below), other than when required to do so in good faith to perform the Executive’s duties and responsibilities hereunder while</w:t>
      </w:r>
    </w:p>
    <w:p>
      <w:pPr>
        <w:ind w:left="500"/>
        <w:spacing w:after="0" w:line="211" w:lineRule="auto"/>
        <w:rPr>
          <w:sz w:val="20"/>
          <w:szCs w:val="20"/>
          <w:color w:val="auto"/>
        </w:rPr>
      </w:pPr>
      <w:r>
        <w:rPr>
          <w:rFonts w:ascii="Times New Roman" w:cs="Times New Roman" w:eastAsia="Times New Roman" w:hAnsi="Times New Roman"/>
          <w:sz w:val="20"/>
          <w:szCs w:val="20"/>
          <w:color w:val="auto"/>
        </w:rPr>
        <w:t>employed by the Company, or when required to do so by a lawful order of a court of competent jurisdiction, any</w:t>
      </w:r>
    </w:p>
    <w:p>
      <w:pPr>
        <w:spacing w:after="0" w:line="1" w:lineRule="exact"/>
        <w:rPr>
          <w:sz w:val="20"/>
          <w:szCs w:val="20"/>
          <w:color w:val="auto"/>
        </w:rPr>
      </w:pPr>
    </w:p>
    <w:p>
      <w:pPr>
        <w:ind w:left="500"/>
        <w:spacing w:after="0" w:line="204" w:lineRule="auto"/>
        <w:rPr>
          <w:sz w:val="20"/>
          <w:szCs w:val="20"/>
          <w:color w:val="auto"/>
        </w:rPr>
      </w:pPr>
      <w:r>
        <w:rPr>
          <w:rFonts w:ascii="Times New Roman" w:cs="Times New Roman" w:eastAsia="Times New Roman" w:hAnsi="Times New Roman"/>
          <w:sz w:val="20"/>
          <w:szCs w:val="20"/>
          <w:color w:val="auto"/>
        </w:rPr>
        <w:t>governmental authority or agency, or any recognized subpoena power. Nothing in this Section 7(e) or in this Agreement prohibits the Executive from reporting possible violations of federal law or regulation to any governmental agency or</w:t>
      </w:r>
    </w:p>
    <w:p>
      <w:pPr>
        <w:ind w:left="500"/>
        <w:spacing w:after="0" w:line="223" w:lineRule="auto"/>
        <w:rPr>
          <w:sz w:val="20"/>
          <w:szCs w:val="20"/>
          <w:color w:val="auto"/>
        </w:rPr>
      </w:pPr>
      <w:r>
        <w:rPr>
          <w:rFonts w:ascii="Times New Roman" w:cs="Times New Roman" w:eastAsia="Times New Roman" w:hAnsi="Times New Roman"/>
          <w:sz w:val="19"/>
          <w:szCs w:val="19"/>
          <w:color w:val="auto"/>
        </w:rPr>
        <w:t>entity, or making other disclosures that are protected under the whistleblower provisions of applicable law or regulation.</w:t>
      </w:r>
    </w:p>
    <w:p>
      <w:pPr>
        <w:ind w:left="500"/>
        <w:spacing w:after="0" w:line="204" w:lineRule="auto"/>
        <w:rPr>
          <w:sz w:val="20"/>
          <w:szCs w:val="20"/>
          <w:color w:val="auto"/>
        </w:rPr>
      </w:pPr>
      <w:r>
        <w:rPr>
          <w:rFonts w:ascii="Times New Roman" w:cs="Times New Roman" w:eastAsia="Times New Roman" w:hAnsi="Times New Roman"/>
          <w:sz w:val="20"/>
          <w:szCs w:val="20"/>
          <w:color w:val="auto"/>
        </w:rPr>
        <w:t>Further, in accordance with the Defend Trade Secrets Act of 2016, (I) the Executive shall not be held criminally or civilly liable under any federal or state trade secret law for the disclosure of a trade secret that: (A) is made (i) in</w:t>
      </w:r>
    </w:p>
    <w:p>
      <w:pPr>
        <w:ind w:left="500"/>
        <w:spacing w:after="0" w:line="211" w:lineRule="auto"/>
        <w:rPr>
          <w:sz w:val="20"/>
          <w:szCs w:val="20"/>
          <w:color w:val="auto"/>
        </w:rPr>
      </w:pPr>
      <w:r>
        <w:rPr>
          <w:rFonts w:ascii="Times New Roman" w:cs="Times New Roman" w:eastAsia="Times New Roman" w:hAnsi="Times New Roman"/>
          <w:sz w:val="20"/>
          <w:szCs w:val="20"/>
          <w:color w:val="auto"/>
        </w:rPr>
        <w:t>confidence to a federal, state, or local government official, either directly or indirectly, or to an attorney; and (ii) solely</w:t>
      </w:r>
    </w:p>
    <w:p>
      <w:pPr>
        <w:spacing w:after="0" w:line="1" w:lineRule="exact"/>
        <w:rPr>
          <w:sz w:val="20"/>
          <w:szCs w:val="20"/>
          <w:color w:val="auto"/>
        </w:rPr>
      </w:pPr>
    </w:p>
    <w:p>
      <w:pPr>
        <w:ind w:left="500"/>
        <w:spacing w:after="0" w:line="215" w:lineRule="auto"/>
        <w:rPr>
          <w:sz w:val="20"/>
          <w:szCs w:val="20"/>
          <w:color w:val="auto"/>
        </w:rPr>
      </w:pPr>
      <w:r>
        <w:rPr>
          <w:rFonts w:ascii="Times New Roman" w:cs="Times New Roman" w:eastAsia="Times New Roman" w:hAnsi="Times New Roman"/>
          <w:sz w:val="19"/>
          <w:szCs w:val="19"/>
          <w:color w:val="auto"/>
        </w:rPr>
        <w:t>for the purpose of reporting or investigating a suspected violation of law; or (B) is made in a complaint or other document filed in a lawsuit or other proceeding, if such filing is made under seal, and (II) if the Executive files a lawsuit</w:t>
      </w:r>
    </w:p>
    <w:p>
      <w:pPr>
        <w:ind w:left="500"/>
        <w:spacing w:after="0" w:line="222" w:lineRule="auto"/>
        <w:rPr>
          <w:sz w:val="20"/>
          <w:szCs w:val="20"/>
          <w:color w:val="auto"/>
        </w:rPr>
      </w:pPr>
      <w:r>
        <w:rPr>
          <w:rFonts w:ascii="Times New Roman" w:cs="Times New Roman" w:eastAsia="Times New Roman" w:hAnsi="Times New Roman"/>
          <w:sz w:val="19"/>
          <w:szCs w:val="19"/>
          <w:color w:val="auto"/>
        </w:rPr>
        <w:t>for retaliation by the Company for reporting a suspected violation of law, the Executive may disclose a trade secret to his</w:t>
      </w:r>
    </w:p>
    <w:p>
      <w:pPr>
        <w:ind w:left="500"/>
        <w:spacing w:after="0" w:line="204" w:lineRule="auto"/>
        <w:rPr>
          <w:sz w:val="20"/>
          <w:szCs w:val="20"/>
          <w:color w:val="auto"/>
        </w:rPr>
      </w:pPr>
      <w:r>
        <w:rPr>
          <w:rFonts w:ascii="Times New Roman" w:cs="Times New Roman" w:eastAsia="Times New Roman" w:hAnsi="Times New Roman"/>
          <w:sz w:val="20"/>
          <w:szCs w:val="20"/>
          <w:color w:val="auto"/>
        </w:rPr>
        <w:t>attorney and use the trade secret information in the court proceeding, if the Executive files any document containing the trade secret under seal and does not disclose the trade secret except pursuant to court order. In the event that the</w:t>
      </w:r>
    </w:p>
    <w:p>
      <w:pPr>
        <w:ind w:left="500"/>
        <w:spacing w:after="0" w:line="211" w:lineRule="auto"/>
        <w:rPr>
          <w:sz w:val="20"/>
          <w:szCs w:val="20"/>
          <w:color w:val="auto"/>
        </w:rPr>
      </w:pPr>
      <w:r>
        <w:rPr>
          <w:rFonts w:ascii="Times New Roman" w:cs="Times New Roman" w:eastAsia="Times New Roman" w:hAnsi="Times New Roman"/>
          <w:sz w:val="20"/>
          <w:szCs w:val="20"/>
          <w:color w:val="auto"/>
        </w:rPr>
        <w:t>Executive becomes legally compelled (by oral questions, interrogatories, request for information or documents,</w:t>
      </w:r>
    </w:p>
    <w:p>
      <w:pPr>
        <w:spacing w:after="0" w:line="1" w:lineRule="exact"/>
        <w:rPr>
          <w:sz w:val="20"/>
          <w:szCs w:val="20"/>
          <w:color w:val="auto"/>
        </w:rPr>
      </w:pPr>
    </w:p>
    <w:p>
      <w:pPr>
        <w:ind w:left="500"/>
        <w:spacing w:after="0" w:line="215" w:lineRule="auto"/>
        <w:rPr>
          <w:sz w:val="20"/>
          <w:szCs w:val="20"/>
          <w:color w:val="auto"/>
        </w:rPr>
      </w:pPr>
      <w:r>
        <w:rPr>
          <w:rFonts w:ascii="Times New Roman" w:cs="Times New Roman" w:eastAsia="Times New Roman" w:hAnsi="Times New Roman"/>
          <w:sz w:val="19"/>
          <w:szCs w:val="19"/>
          <w:color w:val="auto"/>
        </w:rPr>
        <w:t>subpoena, criminal or civil investigative demand or similar process) to disclose any Confidential Information, then prior to such disclosure, the Executive will provide the Board with prompt written notice so that the Company may seek (with</w:t>
      </w:r>
    </w:p>
    <w:p>
      <w:pPr>
        <w:ind w:left="500"/>
        <w:spacing w:after="0" w:line="215" w:lineRule="auto"/>
        <w:rPr>
          <w:sz w:val="20"/>
          <w:szCs w:val="20"/>
          <w:color w:val="auto"/>
        </w:rPr>
      </w:pPr>
      <w:r>
        <w:rPr>
          <w:rFonts w:ascii="Times New Roman" w:cs="Times New Roman" w:eastAsia="Times New Roman" w:hAnsi="Times New Roman"/>
          <w:sz w:val="19"/>
          <w:szCs w:val="19"/>
          <w:color w:val="auto"/>
        </w:rPr>
        <w:t>the Executive’s cooperation) a protective order or other appropriate remedy and/or waive compliance with the provisions of this Agreement. In the event that such protective order or other remedy is not obtained, then the Executive will furnish</w:t>
      </w:r>
    </w:p>
    <w:p>
      <w:pPr>
        <w:ind w:left="500"/>
        <w:spacing w:after="0" w:line="211" w:lineRule="auto"/>
        <w:rPr>
          <w:sz w:val="20"/>
          <w:szCs w:val="20"/>
          <w:color w:val="auto"/>
        </w:rPr>
      </w:pPr>
      <w:r>
        <w:rPr>
          <w:rFonts w:ascii="Times New Roman" w:cs="Times New Roman" w:eastAsia="Times New Roman" w:hAnsi="Times New Roman"/>
          <w:sz w:val="20"/>
          <w:szCs w:val="20"/>
          <w:color w:val="auto"/>
        </w:rPr>
        <w:t>only that portion of the Confidential Information which is legally required (as may be advised by Executive’s legal</w:t>
      </w:r>
    </w:p>
    <w:p>
      <w:pPr>
        <w:ind w:left="500"/>
        <w:spacing w:after="0" w:line="204" w:lineRule="auto"/>
        <w:rPr>
          <w:sz w:val="20"/>
          <w:szCs w:val="20"/>
          <w:color w:val="auto"/>
        </w:rPr>
      </w:pPr>
      <w:r>
        <w:rPr>
          <w:rFonts w:ascii="Times New Roman" w:cs="Times New Roman" w:eastAsia="Times New Roman" w:hAnsi="Times New Roman"/>
          <w:sz w:val="20"/>
          <w:szCs w:val="20"/>
          <w:color w:val="auto"/>
        </w:rPr>
        <w:t>counsel), and will cooperate with the Company in the Company’s efforts to obtain reliable assurance that confidential treatment will be accorded to the Confidential Information. In addition, the Executive shall not create any derivative</w:t>
      </w:r>
    </w:p>
    <w:p>
      <w:pPr>
        <w:ind w:left="500"/>
        <w:spacing w:after="0" w:line="211" w:lineRule="auto"/>
        <w:rPr>
          <w:sz w:val="20"/>
          <w:szCs w:val="20"/>
          <w:color w:val="auto"/>
        </w:rPr>
      </w:pPr>
      <w:r>
        <w:rPr>
          <w:rFonts w:ascii="Times New Roman" w:cs="Times New Roman" w:eastAsia="Times New Roman" w:hAnsi="Times New Roman"/>
          <w:sz w:val="20"/>
          <w:szCs w:val="20"/>
          <w:color w:val="auto"/>
        </w:rPr>
        <w:t>work or other product based on or resulting from any Confidential Information (except in the good faith performance of</w:t>
      </w:r>
    </w:p>
    <w:p>
      <w:pPr>
        <w:spacing w:after="0" w:line="1" w:lineRule="exact"/>
        <w:rPr>
          <w:sz w:val="20"/>
          <w:szCs w:val="20"/>
          <w:color w:val="auto"/>
        </w:rPr>
      </w:pPr>
    </w:p>
    <w:p>
      <w:pPr>
        <w:ind w:left="500" w:right="20"/>
        <w:spacing w:after="0" w:line="215" w:lineRule="auto"/>
        <w:rPr>
          <w:sz w:val="20"/>
          <w:szCs w:val="20"/>
          <w:color w:val="auto"/>
        </w:rPr>
      </w:pPr>
      <w:r>
        <w:rPr>
          <w:rFonts w:ascii="Times New Roman" w:cs="Times New Roman" w:eastAsia="Times New Roman" w:hAnsi="Times New Roman"/>
          <w:sz w:val="19"/>
          <w:szCs w:val="19"/>
          <w:color w:val="auto"/>
        </w:rPr>
        <w:t>the Executive’s duties under this Agreement while employed by the Company). The Executive shall also proffer to the Board’s designee, no later than the Termination Date (or upon the earlier request of the Company), and without retaining</w:t>
      </w:r>
    </w:p>
    <w:p>
      <w:pPr>
        <w:ind w:left="500"/>
        <w:spacing w:after="0" w:line="211" w:lineRule="auto"/>
        <w:rPr>
          <w:sz w:val="20"/>
          <w:szCs w:val="20"/>
          <w:color w:val="auto"/>
        </w:rPr>
      </w:pPr>
      <w:r>
        <w:rPr>
          <w:rFonts w:ascii="Times New Roman" w:cs="Times New Roman" w:eastAsia="Times New Roman" w:hAnsi="Times New Roman"/>
          <w:sz w:val="20"/>
          <w:szCs w:val="20"/>
          <w:color w:val="auto"/>
        </w:rPr>
        <w:t>any copies, notes or excerpts thereof, all property of the Company and its affiliates in whatever form, including, without</w:t>
      </w:r>
    </w:p>
    <w:p>
      <w:pPr>
        <w:ind w:left="500"/>
        <w:spacing w:after="0" w:line="204" w:lineRule="auto"/>
        <w:rPr>
          <w:sz w:val="20"/>
          <w:szCs w:val="20"/>
          <w:color w:val="auto"/>
        </w:rPr>
      </w:pPr>
      <w:r>
        <w:rPr>
          <w:rFonts w:ascii="Times New Roman" w:cs="Times New Roman" w:eastAsia="Times New Roman" w:hAnsi="Times New Roman"/>
          <w:sz w:val="20"/>
          <w:szCs w:val="20"/>
          <w:color w:val="auto"/>
        </w:rPr>
        <w:t>limitation, memoranda, computer disks or other media, computer programs, diaries, notes, records, data, customer or client lists, marketing plans and strategies, and any other documents consisting of or containing Confidential</w:t>
      </w:r>
    </w:p>
    <w:p>
      <w:pPr>
        <w:ind w:left="500"/>
        <w:spacing w:after="0" w:line="211" w:lineRule="auto"/>
        <w:rPr>
          <w:sz w:val="20"/>
          <w:szCs w:val="20"/>
          <w:color w:val="auto"/>
        </w:rPr>
      </w:pPr>
      <w:r>
        <w:rPr>
          <w:rFonts w:ascii="Times New Roman" w:cs="Times New Roman" w:eastAsia="Times New Roman" w:hAnsi="Times New Roman"/>
          <w:sz w:val="20"/>
          <w:szCs w:val="20"/>
          <w:color w:val="auto"/>
        </w:rPr>
        <w:t>Information, that are in the Executive’s actual or constructive possession or which are subject to the Executive’s control</w:t>
      </w:r>
    </w:p>
    <w:p>
      <w:pPr>
        <w:spacing w:after="0" w:line="1" w:lineRule="exact"/>
        <w:rPr>
          <w:sz w:val="20"/>
          <w:szCs w:val="20"/>
          <w:color w:val="auto"/>
        </w:rPr>
      </w:pPr>
    </w:p>
    <w:p>
      <w:pPr>
        <w:ind w:left="500"/>
        <w:spacing w:after="0" w:line="204" w:lineRule="auto"/>
        <w:rPr>
          <w:sz w:val="20"/>
          <w:szCs w:val="20"/>
          <w:color w:val="auto"/>
        </w:rPr>
      </w:pPr>
      <w:r>
        <w:rPr>
          <w:rFonts w:ascii="Times New Roman" w:cs="Times New Roman" w:eastAsia="Times New Roman" w:hAnsi="Times New Roman"/>
          <w:sz w:val="20"/>
          <w:szCs w:val="20"/>
          <w:color w:val="auto"/>
        </w:rPr>
        <w:t>at such time. To the extent the Executive has retained any such property or Confidential Information on any electronic or computer equipment belonging to the Executive or under the Executive’s control, the Executive agrees to so advise</w:t>
      </w:r>
    </w:p>
    <w:p>
      <w:pPr>
        <w:ind w:left="500"/>
        <w:spacing w:after="0" w:line="211" w:lineRule="auto"/>
        <w:rPr>
          <w:sz w:val="20"/>
          <w:szCs w:val="20"/>
          <w:color w:val="auto"/>
        </w:rPr>
      </w:pPr>
      <w:r>
        <w:rPr>
          <w:rFonts w:ascii="Times New Roman" w:cs="Times New Roman" w:eastAsia="Times New Roman" w:hAnsi="Times New Roman"/>
          <w:sz w:val="20"/>
          <w:szCs w:val="20"/>
          <w:color w:val="auto"/>
        </w:rPr>
        <w:t>Company and to follow Company’s instructions in permanently deleting all such property or Confidential Information</w:t>
      </w:r>
    </w:p>
    <w:p>
      <w:pPr>
        <w:spacing w:after="0" w:line="1" w:lineRule="exact"/>
        <w:rPr>
          <w:sz w:val="20"/>
          <w:szCs w:val="20"/>
          <w:color w:val="auto"/>
        </w:rPr>
      </w:pPr>
    </w:p>
    <w:p>
      <w:pPr>
        <w:jc w:val="both"/>
        <w:ind w:left="500"/>
        <w:spacing w:after="0" w:line="215" w:lineRule="auto"/>
        <w:rPr>
          <w:sz w:val="20"/>
          <w:szCs w:val="20"/>
          <w:color w:val="auto"/>
        </w:rPr>
      </w:pPr>
      <w:r>
        <w:rPr>
          <w:rFonts w:ascii="Times New Roman" w:cs="Times New Roman" w:eastAsia="Times New Roman" w:hAnsi="Times New Roman"/>
          <w:sz w:val="19"/>
          <w:szCs w:val="19"/>
          <w:color w:val="auto"/>
        </w:rPr>
        <w:t>and all copies. For purposes of this Agreement, “Confidential Information” shall mean all information of a sensitive, confidential or proprietary nature respecting the business and activities of the Company or any of its affiliates, including,</w:t>
      </w:r>
    </w:p>
    <w:p>
      <w:pPr>
        <w:ind w:left="500"/>
        <w:spacing w:after="0" w:line="222" w:lineRule="auto"/>
        <w:rPr>
          <w:sz w:val="20"/>
          <w:szCs w:val="20"/>
          <w:color w:val="auto"/>
        </w:rPr>
      </w:pPr>
      <w:r>
        <w:rPr>
          <w:rFonts w:ascii="Times New Roman" w:cs="Times New Roman" w:eastAsia="Times New Roman" w:hAnsi="Times New Roman"/>
          <w:sz w:val="19"/>
          <w:szCs w:val="19"/>
          <w:color w:val="auto"/>
        </w:rPr>
        <w:t>without limitation, the terms and provisions of this Agreement (except for the terms and provisions of Section 7), and the</w:t>
      </w:r>
    </w:p>
    <w:p>
      <w:pPr>
        <w:ind w:left="500"/>
        <w:spacing w:after="0" w:line="215" w:lineRule="auto"/>
        <w:rPr>
          <w:sz w:val="20"/>
          <w:szCs w:val="20"/>
          <w:color w:val="auto"/>
        </w:rPr>
      </w:pPr>
      <w:r>
        <w:rPr>
          <w:rFonts w:ascii="Times New Roman" w:cs="Times New Roman" w:eastAsia="Times New Roman" w:hAnsi="Times New Roman"/>
          <w:sz w:val="19"/>
          <w:szCs w:val="19"/>
          <w:color w:val="auto"/>
        </w:rPr>
        <w:t>clients, customers, suppliers, computer or other files, projects, products, computer disks or other media, computer hardware or computer software programs, marketing plans, financial information, methodologies, Inventions (as defined</w:t>
      </w:r>
    </w:p>
    <w:p>
      <w:pPr>
        <w:ind w:left="500"/>
        <w:spacing w:after="0" w:line="211" w:lineRule="auto"/>
        <w:rPr>
          <w:sz w:val="20"/>
          <w:szCs w:val="20"/>
          <w:color w:val="auto"/>
        </w:rPr>
      </w:pPr>
      <w:r>
        <w:rPr>
          <w:rFonts w:ascii="Times New Roman" w:cs="Times New Roman" w:eastAsia="Times New Roman" w:hAnsi="Times New Roman"/>
          <w:sz w:val="20"/>
          <w:szCs w:val="20"/>
          <w:color w:val="auto"/>
        </w:rPr>
        <w:t>below), know-how, research, developments, processes, practices, approaches, projections, forecasts, formats, systems,</w:t>
      </w:r>
    </w:p>
    <w:p>
      <w:pPr>
        <w:ind w:left="500"/>
        <w:spacing w:after="0" w:line="204" w:lineRule="auto"/>
        <w:rPr>
          <w:sz w:val="20"/>
          <w:szCs w:val="20"/>
          <w:color w:val="auto"/>
        </w:rPr>
      </w:pPr>
      <w:r>
        <w:rPr>
          <w:rFonts w:ascii="Times New Roman" w:cs="Times New Roman" w:eastAsia="Times New Roman" w:hAnsi="Times New Roman"/>
          <w:sz w:val="20"/>
          <w:szCs w:val="20"/>
          <w:color w:val="auto"/>
        </w:rPr>
        <w:t>data gathering methods and/or strategies of the Company or any of its affiliates. Confidential Information also includes all information received by the Company or any of its affiliates under an obligation of confidentiality to a third party of</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120"/>
          </w:cols>
          <w:pgMar w:left="1440" w:top="1394" w:right="339" w:bottom="1440" w:gutter="0" w:footer="0" w:header="0"/>
        </w:sectPr>
      </w:pPr>
    </w:p>
    <w:bookmarkStart w:id="99" w:name="page100"/>
    <w:bookmarkEnd w:id="99"/>
    <w:p>
      <w:pPr>
        <w:ind w:left="500"/>
        <w:spacing w:after="0"/>
        <w:rPr>
          <w:sz w:val="20"/>
          <w:szCs w:val="20"/>
          <w:color w:val="auto"/>
        </w:rPr>
      </w:pPr>
      <w:r>
        <w:rPr>
          <w:rFonts w:ascii="Times New Roman" w:cs="Times New Roman" w:eastAsia="Times New Roman" w:hAnsi="Times New Roman"/>
          <w:sz w:val="20"/>
          <w:szCs w:val="20"/>
          <w:color w:val="auto"/>
        </w:rPr>
        <w:t>Executive has knowledge. Notwithstanding the foregoing, Confidential Information shall not include any information</w:t>
      </w:r>
    </w:p>
    <w:p>
      <w:pPr>
        <w:ind w:left="500" w:right="20"/>
        <w:spacing w:after="0" w:line="221" w:lineRule="auto"/>
        <w:rPr>
          <w:sz w:val="20"/>
          <w:szCs w:val="20"/>
          <w:color w:val="auto"/>
        </w:rPr>
      </w:pPr>
      <w:r>
        <w:rPr>
          <w:rFonts w:ascii="Times New Roman" w:cs="Times New Roman" w:eastAsia="Times New Roman" w:hAnsi="Times New Roman"/>
          <w:sz w:val="20"/>
          <w:szCs w:val="20"/>
          <w:color w:val="auto"/>
        </w:rPr>
        <w:t>that is generally available, or is made generally available, to the public other than as a result of a direct or indirect unauthorized disclosure by the Executive or any other person or entity subject to a confidentiality obligation.</w:t>
      </w:r>
    </w:p>
    <w:p>
      <w:pPr>
        <w:spacing w:after="0" w:line="108" w:lineRule="exact"/>
        <w:rPr>
          <w:sz w:val="20"/>
          <w:szCs w:val="20"/>
          <w:color w:val="auto"/>
        </w:rPr>
      </w:pPr>
    </w:p>
    <w:p>
      <w:pPr>
        <w:jc w:val="both"/>
        <w:ind w:left="500" w:hanging="316"/>
        <w:spacing w:after="0" w:line="208" w:lineRule="auto"/>
        <w:tabs>
          <w:tab w:leader="none" w:pos="49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of Inventions</w:t>
      </w:r>
      <w:r>
        <w:rPr>
          <w:rFonts w:ascii="Times New Roman" w:cs="Times New Roman" w:eastAsia="Times New Roman" w:hAnsi="Times New Roman"/>
          <w:sz w:val="20"/>
          <w:szCs w:val="20"/>
          <w:color w:val="auto"/>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“Company IP”).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7(f) shall be paid by the Company or its designee. The Executive shall not, on or after the Commencement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“Company Invention” 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Commencement Date, but not before the commencement of Executive’s employment with the Company or its predecessor),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Commencement Date, but not before the commencement of Executive’s employment with the Company or its predecessor). For purposes of this Agreement, “Invention” shall mean any invention, formula, therapy, diagnostic technique, discovery, improvement, idea, technique, design, method, art, process, methodology, algorithm, machine, development,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120"/>
          </w:cols>
          <w:pgMar w:left="1440" w:top="1394" w:right="339" w:bottom="1440" w:gutter="0" w:footer="0" w:header="0"/>
        </w:sectPr>
      </w:pPr>
    </w:p>
    <w:bookmarkStart w:id="100" w:name="page101"/>
    <w:bookmarkEnd w:id="100"/>
    <w:p>
      <w:pPr>
        <w:ind w:left="500"/>
        <w:spacing w:after="0"/>
        <w:rPr>
          <w:sz w:val="20"/>
          <w:szCs w:val="20"/>
          <w:color w:val="auto"/>
        </w:rPr>
      </w:pPr>
      <w:r>
        <w:rPr>
          <w:rFonts w:ascii="Times New Roman" w:cs="Times New Roman" w:eastAsia="Times New Roman" w:hAnsi="Times New Roman"/>
          <w:sz w:val="20"/>
          <w:szCs w:val="20"/>
          <w:color w:val="auto"/>
        </w:rPr>
        <w:t>service, technology, strategy, software, work of authorship or other Works (as defined below), trade secret, innovation, trademark, data, database, or the like, whether or not patentable, together with all intellectual property rights therein.</w:t>
      </w:r>
    </w:p>
    <w:p>
      <w:pPr>
        <w:spacing w:after="0" w:line="94" w:lineRule="exact"/>
        <w:rPr>
          <w:sz w:val="20"/>
          <w:szCs w:val="20"/>
          <w:color w:val="auto"/>
        </w:rPr>
      </w:pPr>
    </w:p>
    <w:p>
      <w:pPr>
        <w:jc w:val="both"/>
        <w:ind w:left="500" w:hanging="316"/>
        <w:spacing w:after="0" w:line="210" w:lineRule="auto"/>
        <w:tabs>
          <w:tab w:leader="none" w:pos="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Works for Hire</w:t>
      </w:r>
      <w:r>
        <w:rPr>
          <w:rFonts w:ascii="Times New Roman" w:cs="Times New Roman" w:eastAsia="Times New Roman" w:hAnsi="Times New Roman"/>
          <w:sz w:val="20"/>
          <w:szCs w:val="20"/>
          <w:color w:val="auto"/>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Commencement Date),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(“Works”),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w:t>
      </w:r>
    </w:p>
    <w:p>
      <w:pPr>
        <w:spacing w:after="0" w:line="102" w:lineRule="exact"/>
        <w:rPr>
          <w:rFonts w:ascii="Times New Roman" w:cs="Times New Roman" w:eastAsia="Times New Roman" w:hAnsi="Times New Roman"/>
          <w:sz w:val="20"/>
          <w:szCs w:val="20"/>
          <w:color w:val="auto"/>
        </w:rPr>
      </w:pPr>
    </w:p>
    <w:p>
      <w:pPr>
        <w:jc w:val="both"/>
        <w:ind w:left="500" w:hanging="316"/>
        <w:spacing w:after="0" w:line="211" w:lineRule="auto"/>
        <w:tabs>
          <w:tab w:leader="none" w:pos="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and after the term hereof, the Executive agrees to cooperate with the Company and its affiliates in any internal investigation, any administrative, regulatory, or judicial proceeding or any dispute with a third-party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spacing w:after="0" w:line="112" w:lineRule="exact"/>
        <w:rPr>
          <w:rFonts w:ascii="Times New Roman" w:cs="Times New Roman" w:eastAsia="Times New Roman" w:hAnsi="Times New Roman"/>
          <w:sz w:val="20"/>
          <w:szCs w:val="20"/>
          <w:color w:val="auto"/>
        </w:rPr>
      </w:pPr>
    </w:p>
    <w:p>
      <w:pPr>
        <w:jc w:val="both"/>
        <w:ind w:left="500" w:hanging="316"/>
        <w:spacing w:after="0" w:line="226" w:lineRule="auto"/>
        <w:tabs>
          <w:tab w:leader="none" w:pos="496"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Notification Requirement</w:t>
      </w:r>
      <w:r>
        <w:rPr>
          <w:rFonts w:ascii="Times New Roman" w:cs="Times New Roman" w:eastAsia="Times New Roman" w:hAnsi="Times New Roman"/>
          <w:sz w:val="19"/>
          <w:szCs w:val="19"/>
          <w:color w:val="auto"/>
        </w:rPr>
        <w:t>. Until the expiration of the period or periods for Restrictive Covenants (as applicable), the Executive shall, upon a reasonable request by the Company, give notice to the Company of any new business activity 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“Person”) for whom such activity is undertaken and the nature of the Executive’s business relationship(s) and position(s) with such Person. The Executive shall provide the Company with such other pertinent information concerning such business activity as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120"/>
          </w:cols>
          <w:pgMar w:left="1440" w:top="1399" w:right="339" w:bottom="1440" w:gutter="0" w:footer="0" w:header="0"/>
        </w:sectPr>
      </w:pPr>
    </w:p>
    <w:bookmarkStart w:id="101" w:name="page102"/>
    <w:bookmarkEnd w:id="101"/>
    <w:p>
      <w:pPr>
        <w:ind w:left="964"/>
        <w:spacing w:after="0"/>
        <w:rPr>
          <w:sz w:val="20"/>
          <w:szCs w:val="20"/>
          <w:color w:val="auto"/>
        </w:rPr>
      </w:pPr>
      <w:r>
        <w:rPr>
          <w:rFonts w:ascii="Times New Roman" w:cs="Times New Roman" w:eastAsia="Times New Roman" w:hAnsi="Times New Roman"/>
          <w:sz w:val="20"/>
          <w:szCs w:val="20"/>
          <w:color w:val="auto"/>
        </w:rPr>
        <w:t>reasonably request in order to determine the Executive’s continued compliance with the Restrictive Covenants.</w:t>
      </w:r>
    </w:p>
    <w:p>
      <w:pPr>
        <w:spacing w:after="0" w:line="135" w:lineRule="exact"/>
        <w:rPr>
          <w:sz w:val="20"/>
          <w:szCs w:val="20"/>
          <w:color w:val="auto"/>
        </w:rPr>
      </w:pPr>
    </w:p>
    <w:p>
      <w:pPr>
        <w:jc w:val="both"/>
        <w:ind w:left="964" w:hanging="316"/>
        <w:spacing w:after="0" w:line="210" w:lineRule="auto"/>
        <w:tabs>
          <w:tab w:leader="none" w:pos="9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agrees that the Company and its affiliates, in addition to any other legal or equitable remedies available to them, shall be entitled to seek preliminary and permanent injunctive relief against any breach or threatened breach by the Executive of any of the Restrictive Covenants, without having to post bond, and to seek specific performance of each of the terms thereof. The Restrictive Covenants are intended for the benefit of the Company and each of its affiliates. Each affiliate of the Company is an intended third-party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w:t>
      </w:r>
    </w:p>
    <w:p>
      <w:pPr>
        <w:spacing w:after="0" w:line="112" w:lineRule="exact"/>
        <w:rPr>
          <w:rFonts w:ascii="Times New Roman" w:cs="Times New Roman" w:eastAsia="Times New Roman" w:hAnsi="Times New Roman"/>
          <w:sz w:val="20"/>
          <w:szCs w:val="20"/>
          <w:color w:val="auto"/>
        </w:rPr>
      </w:pPr>
    </w:p>
    <w:p>
      <w:pPr>
        <w:jc w:val="both"/>
        <w:ind w:left="964" w:hanging="316"/>
        <w:spacing w:after="0" w:line="226" w:lineRule="auto"/>
        <w:tabs>
          <w:tab w:leader="none" w:pos="96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New Employer</w:t>
      </w:r>
      <w:r>
        <w:rPr>
          <w:rFonts w:ascii="Times New Roman" w:cs="Times New Roman" w:eastAsia="Times New Roman" w:hAnsi="Times New Roman"/>
          <w:sz w:val="20"/>
          <w:szCs w:val="20"/>
          <w:color w:val="auto"/>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p>
    <w:p>
      <w:pPr>
        <w:spacing w:after="0" w:line="10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jc w:val="both"/>
        <w:ind w:left="4" w:firstLine="644"/>
        <w:spacing w:after="0" w:line="211" w:lineRule="auto"/>
        <w:tabs>
          <w:tab w:leader="none" w:pos="128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112" w:lineRule="exact"/>
        <w:rPr>
          <w:rFonts w:ascii="Times New Roman" w:cs="Times New Roman" w:eastAsia="Times New Roman" w:hAnsi="Times New Roman"/>
          <w:sz w:val="20"/>
          <w:szCs w:val="20"/>
          <w:color w:val="auto"/>
        </w:rPr>
      </w:pPr>
    </w:p>
    <w:p>
      <w:pPr>
        <w:jc w:val="both"/>
        <w:ind w:left="4" w:firstLine="644"/>
        <w:spacing w:after="0" w:line="215" w:lineRule="auto"/>
        <w:tabs>
          <w:tab w:leader="none" w:pos="130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and shall have the opportunity to reject the selection, within two business days of being notified of the selection, on the basis of that Determining Party’s having a conflict of 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584"/>
          </w:cols>
          <w:pgMar w:left="976" w:top="139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“Determination”), together with detailed supporting calculations and documentation to the Company and Executive, within 10</w:t>
      </w:r>
    </w:p>
    <w:p>
      <w:pPr>
        <w:spacing w:after="0" w:line="204" w:lineRule="auto"/>
        <w:rPr>
          <w:sz w:val="20"/>
          <w:szCs w:val="20"/>
          <w:color w:val="auto"/>
        </w:rPr>
      </w:pPr>
      <w:r>
        <w:rPr>
          <w:rFonts w:ascii="Times New Roman" w:cs="Times New Roman" w:eastAsia="Times New Roman" w:hAnsi="Times New Roman"/>
          <w:sz w:val="20"/>
          <w:szCs w:val="20"/>
          <w:color w:val="auto"/>
        </w:rPr>
        <w:t>business days of the termination of Executive’s employment or at such other time mutually agreed by the Company and Executive. If the Determining Party determines that no Excise Tax is payable by Executive with respect to the Total Payments, it shall furnish</w:t>
      </w:r>
    </w:p>
    <w:p>
      <w:pPr>
        <w:spacing w:after="0" w:line="223" w:lineRule="auto"/>
        <w:rPr>
          <w:sz w:val="20"/>
          <w:szCs w:val="20"/>
          <w:color w:val="auto"/>
        </w:rPr>
      </w:pPr>
      <w:r>
        <w:rPr>
          <w:rFonts w:ascii="Times New Roman" w:cs="Times New Roman" w:eastAsia="Times New Roman" w:hAnsi="Times New Roman"/>
          <w:sz w:val="19"/>
          <w:szCs w:val="19"/>
          <w:color w:val="auto"/>
        </w:rPr>
        <w:t>Executive with an opinion reasonably acceptable to Executive that no Excise Tax will be imposed with respect to any such payments</w:t>
      </w:r>
    </w:p>
    <w:p>
      <w:pPr>
        <w:spacing w:after="0" w:line="215" w:lineRule="auto"/>
        <w:rPr>
          <w:sz w:val="20"/>
          <w:szCs w:val="20"/>
          <w:color w:val="auto"/>
        </w:rPr>
      </w:pPr>
      <w:r>
        <w:rPr>
          <w:rFonts w:ascii="Times New Roman" w:cs="Times New Roman" w:eastAsia="Times New Roman" w:hAnsi="Times New Roman"/>
          <w:sz w:val="19"/>
          <w:szCs w:val="19"/>
          <w:color w:val="auto"/>
        </w:rPr>
        <w:t>and, absent manifest error, such Determination shall be binding, final and conclusive upon the Company and Executive. If the Determining Party determines that an Excise Tax would be payable, the Company shall have the right to accept the Determination as</w:t>
      </w:r>
    </w:p>
    <w:p>
      <w:pPr>
        <w:spacing w:after="0" w:line="211" w:lineRule="auto"/>
        <w:rPr>
          <w:sz w:val="20"/>
          <w:szCs w:val="20"/>
          <w:color w:val="auto"/>
        </w:rPr>
      </w:pPr>
      <w:r>
        <w:rPr>
          <w:rFonts w:ascii="Times New Roman" w:cs="Times New Roman" w:eastAsia="Times New Roman" w:hAnsi="Times New Roman"/>
          <w:sz w:val="20"/>
          <w:szCs w:val="20"/>
          <w:color w:val="auto"/>
        </w:rPr>
        <w:t>to the extent of the reduction, if any, pursuant to Section 8(a), or to have such Determination reviewed by another accounting firm</w:t>
      </w:r>
    </w:p>
    <w:p>
      <w:pPr>
        <w:spacing w:after="0" w:line="215" w:lineRule="auto"/>
        <w:rPr>
          <w:sz w:val="20"/>
          <w:szCs w:val="20"/>
          <w:color w:val="auto"/>
        </w:rPr>
      </w:pPr>
      <w:r>
        <w:rPr>
          <w:rFonts w:ascii="Times New Roman" w:cs="Times New Roman" w:eastAsia="Times New Roman" w:hAnsi="Times New Roman"/>
          <w:sz w:val="19"/>
          <w:szCs w:val="19"/>
          <w:color w:val="auto"/>
        </w:rPr>
        <w:t>selected by the Company, at the Company’s expense. If the two accounting firms do not agree, a third accounting firm shall be jointly chosen by Executive and the Company, in which case the determination of such third accounting firm shall be binding, final and</w:t>
      </w:r>
    </w:p>
    <w:p>
      <w:pPr>
        <w:spacing w:after="0"/>
        <w:rPr>
          <w:sz w:val="20"/>
          <w:szCs w:val="20"/>
          <w:color w:val="auto"/>
        </w:rPr>
      </w:pPr>
      <w:r>
        <w:rPr>
          <w:rFonts w:ascii="Times New Roman" w:cs="Times New Roman" w:eastAsia="Times New Roman" w:hAnsi="Times New Roman"/>
          <w:sz w:val="20"/>
          <w:szCs w:val="20"/>
          <w:color w:val="auto"/>
        </w:rPr>
        <w:t>conclusive upon the Company and Executive.</w:t>
      </w:r>
    </w:p>
    <w:p>
      <w:pPr>
        <w:spacing w:after="0" w:line="113" w:lineRule="exact"/>
        <w:rPr>
          <w:sz w:val="20"/>
          <w:szCs w:val="20"/>
          <w:color w:val="auto"/>
        </w:rPr>
      </w:pPr>
    </w:p>
    <w:p>
      <w:pPr>
        <w:jc w:val="both"/>
        <w:ind w:firstLine="644"/>
        <w:spacing w:after="0" w:line="211" w:lineRule="auto"/>
        <w:tabs>
          <w:tab w:leader="none" w:pos="128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notwithstanding any reduction described in this Section 8,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 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spacing w:after="0" w:line="111" w:lineRule="exact"/>
        <w:rPr>
          <w:rFonts w:ascii="Times New Roman" w:cs="Times New Roman" w:eastAsia="Times New Roman" w:hAnsi="Times New Roman"/>
          <w:sz w:val="20"/>
          <w:szCs w:val="20"/>
          <w:color w:val="auto"/>
        </w:rPr>
      </w:pPr>
    </w:p>
    <w:p>
      <w:pPr>
        <w:jc w:val="both"/>
        <w:ind w:firstLine="644"/>
        <w:spacing w:after="0" w:line="227" w:lineRule="auto"/>
        <w:tabs>
          <w:tab w:leader="none" w:pos="129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Section 8, if (i) there is a reduction in the Total Payments as described in this Section 8,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10" w:lineRule="exact"/>
        <w:rPr>
          <w:rFonts w:ascii="Times New Roman" w:cs="Times New Roman" w:eastAsia="Times New Roman" w:hAnsi="Times New Roman"/>
          <w:sz w:val="19"/>
          <w:szCs w:val="19"/>
          <w:color w:val="auto"/>
        </w:rPr>
      </w:pPr>
    </w:p>
    <w:p>
      <w:pPr>
        <w:jc w:val="both"/>
        <w:ind w:firstLine="644"/>
        <w:spacing w:after="0" w:line="216" w:lineRule="auto"/>
        <w:tabs>
          <w:tab w:leader="none" w:pos="128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a reduction of the Total Payments pursuant to Section 8(a), the Determining Party or a court of competent jurisdiction determines that the Total Payments were reduced to a greater extent than required under Section 8,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spacing w:after="0" w:line="108" w:lineRule="exact"/>
        <w:rPr>
          <w:rFonts w:ascii="Times New Roman" w:cs="Times New Roman" w:eastAsia="Times New Roman" w:hAnsi="Times New Roman"/>
          <w:sz w:val="20"/>
          <w:szCs w:val="20"/>
          <w:color w:val="auto"/>
        </w:rPr>
      </w:pPr>
    </w:p>
    <w:p>
      <w:pPr>
        <w:jc w:val="both"/>
        <w:ind w:firstLine="644"/>
        <w:spacing w:after="0" w:line="215" w:lineRule="auto"/>
        <w:tabs>
          <w:tab w:leader="none" w:pos="129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Q&amp;A- 44 of the final regulations under Section 280G of the Code and/or exempt from the definition of the term “parachute payment” within the meaning of Q&amp;A-2(a) of the final regulations under Section 280G of the Code in accordance with Q&amp;A- 5(a) of the final regulations under Section 280G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580"/>
          </w:cols>
          <w:pgMar w:left="980" w:top="1394" w:right="339" w:bottom="1440" w:gutter="0" w:footer="0" w:header="0"/>
        </w:sectPr>
      </w:pPr>
    </w:p>
    <w:bookmarkStart w:id="103" w:name="page104"/>
    <w:bookmarkEnd w:id="103"/>
    <w:p>
      <w:pPr>
        <w:jc w:val="both"/>
        <w:ind w:firstLine="656"/>
        <w:spacing w:after="0" w:line="220" w:lineRule="auto"/>
        <w:tabs>
          <w:tab w:leader="none" w:pos="129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Agreements</w:t>
      </w:r>
      <w:r>
        <w:rPr>
          <w:rFonts w:ascii="Times New Roman" w:cs="Times New Roman" w:eastAsia="Times New Roman" w:hAnsi="Times New Roman"/>
          <w:sz w:val="20"/>
          <w:szCs w:val="20"/>
          <w:color w:val="auto"/>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spacing w:after="0" w:line="93"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his employment or other service with the Company or any of its affiliates (or the termination thereof).</w:t>
      </w:r>
    </w:p>
    <w:p>
      <w:pPr>
        <w:spacing w:after="0" w:line="96" w:lineRule="exact"/>
        <w:rPr>
          <w:rFonts w:ascii="Times New Roman" w:cs="Times New Roman" w:eastAsia="Times New Roman" w:hAnsi="Times New Roman"/>
          <w:sz w:val="20"/>
          <w:szCs w:val="20"/>
          <w:color w:val="auto"/>
        </w:rPr>
      </w:pPr>
    </w:p>
    <w:p>
      <w:pPr>
        <w:ind w:firstLine="656"/>
        <w:spacing w:after="0"/>
        <w:tabs>
          <w:tab w:leader="none" w:pos="127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reduced by any tax or other amounts required to be withheld by the Company under applicable law.</w:t>
      </w:r>
    </w:p>
    <w:p>
      <w:pPr>
        <w:spacing w:after="0" w:line="107"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spacing w:after="0" w:line="94"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0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7"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10" w:lineRule="exact"/>
        <w:rPr>
          <w:rFonts w:ascii="Times New Roman" w:cs="Times New Roman" w:eastAsia="Times New Roman" w:hAnsi="Times New Roman"/>
          <w:sz w:val="19"/>
          <w:szCs w:val="19"/>
          <w:color w:val="auto"/>
        </w:rPr>
      </w:pPr>
    </w:p>
    <w:p>
      <w:pPr>
        <w:jc w:val="both"/>
        <w:ind w:firstLine="656"/>
        <w:spacing w:after="0" w:line="226" w:lineRule="auto"/>
        <w:tabs>
          <w:tab w:leader="none" w:pos="128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spacing w:after="0" w:line="10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Executive, at his last known address on the books of the Company, with a copy to ; and</w:t>
      </w:r>
    </w:p>
    <w:p>
      <w:pPr>
        <w:spacing w:after="0" w:line="13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its principal place of business, attention, Secretary, with a copy to legal@awholdings.com; or</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such other address as either party may specify by notice to the other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9" w:right="339" w:bottom="1440" w:gutter="0" w:footer="0" w:header="0"/>
        </w:sectPr>
      </w:pPr>
    </w:p>
    <w:bookmarkStart w:id="104" w:name="page105"/>
    <w:bookmarkEnd w:id="104"/>
    <w:p>
      <w:pPr>
        <w:jc w:val="both"/>
        <w:ind w:firstLine="656"/>
        <w:spacing w:after="0" w:line="226" w:lineRule="auto"/>
        <w:tabs>
          <w:tab w:leader="none" w:pos="12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w:t>
      </w:r>
    </w:p>
    <w:p>
      <w:pPr>
        <w:spacing w:after="0" w:line="106"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and captions in this Agreement are for convenience only and in no way define or describe the scope or content of any provision of this Agreement.</w:t>
      </w:r>
    </w:p>
    <w:p>
      <w:pPr>
        <w:spacing w:after="0" w:line="93"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w:t>
      </w:r>
    </w:p>
    <w:p>
      <w:pPr>
        <w:spacing w:after="0" w:line="107"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WAIVER OF JURY TRIAL</w:t>
      </w:r>
      <w:r>
        <w:rPr>
          <w:rFonts w:ascii="Times New Roman" w:cs="Times New Roman" w:eastAsia="Times New Roman" w:hAnsi="Times New Roman"/>
          <w:sz w:val="20"/>
          <w:szCs w:val="20"/>
          <w:color w:val="auto"/>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w:t>
      </w:r>
    </w:p>
    <w:p>
      <w:pPr>
        <w:spacing w:after="0" w:line="113" w:lineRule="exact"/>
        <w:rPr>
          <w:rFonts w:ascii="Times New Roman" w:cs="Times New Roman" w:eastAsia="Times New Roman" w:hAnsi="Times New Roman"/>
          <w:sz w:val="20"/>
          <w:szCs w:val="20"/>
          <w:color w:val="auto"/>
        </w:rPr>
      </w:pPr>
    </w:p>
    <w:p>
      <w:pPr>
        <w:jc w:val="both"/>
        <w:ind w:firstLine="656"/>
        <w:spacing w:after="0" w:line="233" w:lineRule="auto"/>
        <w:tabs>
          <w:tab w:leader="none" w:pos="1287"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 Section 409A Compliance</w:t>
      </w:r>
      <w:r>
        <w:rPr>
          <w:rFonts w:ascii="Times New Roman" w:cs="Times New Roman" w:eastAsia="Times New Roman" w:hAnsi="Times New Roman"/>
          <w:sz w:val="19"/>
          <w:szCs w:val="19"/>
          <w:color w:val="auto"/>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10th 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9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color w:val="auto"/>
        </w:rPr>
        <w:t>following the calendar year in which such expenses were incurred. Notwithstanding anything herein to the contrary, neither the Company nor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of its affiliates shall have any liability to the Executive or to any other person or entity if this Agreement is, or if the payments and benefits provided in this Agreement that are intended to be exempt from or compliant with Code Section 409A are, not so exempt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compliant. Each payment payable hereunder shall be treated as a separate payment in a series of payments within the meaning of, and for purposes of, Code Section 409A.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99" w:right="339" w:bottom="1440" w:gutter="0" w:footer="0" w:header="0"/>
        </w:sectPr>
      </w:pPr>
    </w:p>
    <w:bookmarkStart w:id="106" w:name="page107"/>
    <w:bookmarkEnd w:id="106"/>
    <w:p>
      <w:pPr>
        <w:ind w:right="620" w:firstLine="648"/>
        <w:spacing w:after="0"/>
        <w:rPr>
          <w:sz w:val="20"/>
          <w:szCs w:val="20"/>
          <w:color w:val="auto"/>
        </w:rPr>
      </w:pPr>
      <w:r>
        <w:rPr>
          <w:rFonts w:ascii="Times New Roman" w:cs="Times New Roman" w:eastAsia="Times New Roman" w:hAnsi="Times New Roman"/>
          <w:sz w:val="20"/>
          <w:szCs w:val="20"/>
          <w:color w:val="auto"/>
        </w:rPr>
        <w:t>IN WITNESS WHEREOF, this Agreement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EXECUTIVE</w:t>
            </w:r>
          </w:p>
        </w:tc>
        <w:tc>
          <w:tcPr>
            <w:tcW w:w="7080" w:type="dxa"/>
            <w:vAlign w:val="bottom"/>
            <w:gridSpan w:val="2"/>
          </w:tcPr>
          <w:p>
            <w:pPr>
              <w:ind w:left="1480"/>
              <w:spacing w:after="0"/>
              <w:rPr>
                <w:sz w:val="20"/>
                <w:szCs w:val="20"/>
                <w:color w:val="auto"/>
              </w:rPr>
            </w:pPr>
            <w:r>
              <w:rPr>
                <w:rFonts w:ascii="Times New Roman" w:cs="Times New Roman" w:eastAsia="Times New Roman" w:hAnsi="Times New Roman"/>
                <w:sz w:val="20"/>
                <w:szCs w:val="20"/>
                <w:color w:val="auto"/>
              </w:rPr>
              <w:t>ASCEND WELLNESS HOLDINGS, INC.</w:t>
            </w:r>
          </w:p>
        </w:tc>
      </w:tr>
      <w:tr>
        <w:trPr>
          <w:trHeight w:val="52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Francis Perullo</w:t>
            </w:r>
          </w:p>
        </w:tc>
        <w:tc>
          <w:tcPr>
            <w:tcW w:w="234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Samuel Brill</w:t>
            </w:r>
          </w:p>
        </w:tc>
      </w:tr>
      <w:tr>
        <w:trPr>
          <w:trHeight w:val="24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Francis Perullo</w:t>
            </w:r>
          </w:p>
        </w:tc>
        <w:tc>
          <w:tcPr>
            <w:tcW w:w="234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Name:</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Samuel Brill</w:t>
            </w:r>
          </w:p>
        </w:tc>
      </w:tr>
      <w:tr>
        <w:trPr>
          <w:trHeight w:val="258"/>
        </w:trPr>
        <w:tc>
          <w:tcPr>
            <w:tcW w:w="9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34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Title:</w:t>
            </w:r>
          </w:p>
        </w:tc>
        <w:tc>
          <w:tcPr>
            <w:tcW w:w="4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1399" w:right="4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9019"/>
          </w:cols>
          <w:pgMar w:left="1440" w:top="13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9019"/>
          </w:cols>
          <w:pgMar w:left="1440" w:top="1399" w:right="1440"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193" w:lineRule="exact"/>
        <w:rPr>
          <w:sz w:val="20"/>
          <w:szCs w:val="20"/>
          <w:color w:val="auto"/>
        </w:rPr>
      </w:pPr>
    </w:p>
    <w:p>
      <w:pPr>
        <w:jc w:val="both"/>
        <w:ind w:firstLine="746"/>
        <w:spacing w:after="0" w:line="215" w:lineRule="auto"/>
        <w:rPr>
          <w:sz w:val="20"/>
          <w:szCs w:val="20"/>
          <w:color w:val="auto"/>
        </w:rPr>
      </w:pPr>
      <w:r>
        <w:rPr>
          <w:rFonts w:ascii="Times New Roman" w:cs="Times New Roman" w:eastAsia="Times New Roman" w:hAnsi="Times New Roman"/>
          <w:sz w:val="20"/>
          <w:szCs w:val="20"/>
          <w:color w:val="auto"/>
        </w:rPr>
        <w:t>This Employment Agreement (this “Agreement”) dated as of August 26, 2024 (the “Effective Date”) is made and entered into by and between Ascend Wellness Holdings, Inc., a Delaware corporation with a principal place of business at 44 Whippany Road, Suite 101,</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Morristown, NJ 07960 (the “Company”), and Roman O. Nemchenko, an individual whose principal business address is in care of the Company at 44 Whippany Road, Suite 101, Morristown, NJ 07960 (the “Executive”).</w:t>
      </w:r>
    </w:p>
    <w:p>
      <w:pPr>
        <w:spacing w:after="0" w:line="1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Company formerly employed Executive as Chief Accounting Officer of the Company;</w:t>
      </w:r>
    </w:p>
    <w:p>
      <w:pPr>
        <w:spacing w:after="0" w:line="189" w:lineRule="exact"/>
        <w:rPr>
          <w:sz w:val="20"/>
          <w:szCs w:val="20"/>
          <w:color w:val="auto"/>
        </w:rPr>
      </w:pPr>
    </w:p>
    <w:p>
      <w:pPr>
        <w:ind w:right="320" w:firstLine="746"/>
        <w:spacing w:after="0" w:line="233" w:lineRule="auto"/>
        <w:rPr>
          <w:sz w:val="20"/>
          <w:szCs w:val="20"/>
          <w:color w:val="auto"/>
        </w:rPr>
      </w:pPr>
      <w:r>
        <w:rPr>
          <w:rFonts w:ascii="Times New Roman" w:cs="Times New Roman" w:eastAsia="Times New Roman" w:hAnsi="Times New Roman"/>
          <w:sz w:val="20"/>
          <w:szCs w:val="20"/>
          <w:color w:val="auto"/>
        </w:rPr>
        <w:t>WHEREAS, the Company and Executive wish to enter into a new employment relationship with one another in connection with Executive’s new role with the Company as Chief Financial Officer.</w:t>
      </w:r>
    </w:p>
    <w:p>
      <w:pPr>
        <w:spacing w:after="0" w:line="161" w:lineRule="exact"/>
        <w:rPr>
          <w:sz w:val="20"/>
          <w:szCs w:val="20"/>
          <w:color w:val="auto"/>
        </w:rPr>
      </w:pPr>
    </w:p>
    <w:p>
      <w:pPr>
        <w:ind w:right="40" w:firstLine="746"/>
        <w:spacing w:after="0"/>
        <w:rPr>
          <w:sz w:val="20"/>
          <w:szCs w:val="20"/>
          <w:color w:val="auto"/>
        </w:rPr>
      </w:pPr>
      <w:r>
        <w:rPr>
          <w:rFonts w:ascii="Times New Roman" w:cs="Times New Roman" w:eastAsia="Times New Roman" w:hAnsi="Times New Roman"/>
          <w:sz w:val="20"/>
          <w:szCs w:val="20"/>
          <w:color w:val="auto"/>
        </w:rPr>
        <w:t>WHEREAS, the parties desire to memorialize the terms of the Executive’s employment as Chief Financial Officer, on the terms and conditions hereinafter set forth.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189" w:lineRule="exact"/>
        <w:rPr>
          <w:sz w:val="20"/>
          <w:szCs w:val="20"/>
          <w:color w:val="auto"/>
        </w:rPr>
      </w:pPr>
    </w:p>
    <w:p>
      <w:pPr>
        <w:ind w:right="360" w:firstLine="747"/>
        <w:spacing w:after="0"/>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w:t>
      </w:r>
    </w:p>
    <w:p>
      <w:pPr>
        <w:spacing w:after="0" w:line="94" w:lineRule="exact"/>
        <w:rPr>
          <w:sz w:val="20"/>
          <w:szCs w:val="20"/>
          <w:color w:val="auto"/>
        </w:rPr>
      </w:pPr>
    </w:p>
    <w:p>
      <w:pPr>
        <w:ind w:firstLine="818"/>
        <w:spacing w:after="0" w:line="266" w:lineRule="auto"/>
        <w:tabs>
          <w:tab w:leader="none" w:pos="1296"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w:t>
      </w:r>
      <w:r>
        <w:rPr>
          <w:rFonts w:ascii="Times New Roman" w:cs="Times New Roman" w:eastAsia="Times New Roman" w:hAnsi="Times New Roman"/>
          <w:sz w:val="19"/>
          <w:szCs w:val="19"/>
          <w:color w:val="auto"/>
        </w:rPr>
        <w:t>. Subject to the terms and conditions set forth in this Agreement, the Company hereby offers, and the Executive hereby accepts, employment as Chief Financial Officer of the Company, commencing August 26, 2024 (the “Commencement Date”).</w:t>
      </w:r>
    </w:p>
    <w:p>
      <w:pPr>
        <w:spacing w:after="0" w:line="82" w:lineRule="exact"/>
        <w:rPr>
          <w:rFonts w:ascii="Times New Roman" w:cs="Times New Roman" w:eastAsia="Times New Roman" w:hAnsi="Times New Roman"/>
          <w:sz w:val="19"/>
          <w:szCs w:val="19"/>
          <w:color w:val="auto"/>
        </w:rPr>
      </w:pPr>
    </w:p>
    <w:p>
      <w:pPr>
        <w:jc w:val="both"/>
        <w:ind w:firstLine="818"/>
        <w:spacing w:after="0" w:line="218" w:lineRule="auto"/>
        <w:tabs>
          <w:tab w:leader="none" w:pos="129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 Will</w:t>
      </w:r>
      <w:r>
        <w:rPr>
          <w:rFonts w:ascii="Times New Roman" w:cs="Times New Roman" w:eastAsia="Times New Roman" w:hAnsi="Times New Roman"/>
          <w:sz w:val="20"/>
          <w:szCs w:val="20"/>
          <w:color w:val="auto"/>
        </w:rPr>
        <w:t>. The Executive is an employee at will and nothing in this Agreement is intended to change that status in any way. As a result, the Executive and/or the Company can terminate the employment relationship at any time. The parties agree, however, that if the Company terminates the employment relationship without Cause or the employee resigns for Good Reason (as each term is defined herein), then the Executive shall be eligible to receive the Severance Benefits as defined in Section 5.</w:t>
      </w:r>
    </w:p>
    <w:p>
      <w:pPr>
        <w:spacing w:after="0" w:line="109"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Capacity and Performance</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ind w:left="1620" w:hanging="316"/>
        <w:spacing w:after="0" w:line="233" w:lineRule="auto"/>
        <w:tabs>
          <w:tab w:leader="none" w:pos="160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serve the Company as Chief Financial Officer, reporting directly to the Chief Executive Officer (the “CEO”) of the Company.</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26" w:lineRule="auto"/>
        <w:tabs>
          <w:tab w:leader="none" w:pos="16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be employed by the Company on a full-time and diligent basis and shall perform such duties and responsibilities on behalf of the Company as are customarily performed by a Chief Financial Officer of a company of comparable size and as may be reasonably designated from time to time by the CEO.</w:t>
      </w:r>
    </w:p>
    <w:p>
      <w:pPr>
        <w:spacing w:after="0" w:line="106" w:lineRule="exact"/>
        <w:rPr>
          <w:rFonts w:ascii="Times New Roman" w:cs="Times New Roman" w:eastAsia="Times New Roman" w:hAnsi="Times New Roman"/>
          <w:sz w:val="20"/>
          <w:szCs w:val="20"/>
          <w:color w:val="auto"/>
        </w:rPr>
      </w:pPr>
    </w:p>
    <w:p>
      <w:pPr>
        <w:jc w:val="both"/>
        <w:ind w:left="1620" w:hanging="316"/>
        <w:spacing w:after="0" w:line="213" w:lineRule="auto"/>
        <w:tabs>
          <w:tab w:leader="none" w:pos="160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not, directly or indirectly, render any material services of a business, commercial or professional nature to any person or entity other than the Company (or any affiliate thereof), whether for compensation or otherwise, without the prior written consent of the Company’s Board of Directors (the “Board”), which shall not be unreasonably withheld. For the avoidance of doubt, notwithstanding the foregoing, the Executive may (i) engage in the activities set forth on Exhibit A hereto so long as such activities do not (A) individually or in the aggregate, interfere with the performance of the Executive’s duties under this Agreement and (B) materially change in nature or scope of the Executive’s engagement after the Commencement Date, in which case the Executive shall not be permitted to continue such engagement without the prior written consent of the Board and (ii) engage in educational, charitable and civic activities and manage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109" w:name="page110"/>
    <w:bookmarkEnd w:id="109"/>
    <w:p>
      <w:pPr>
        <w:ind w:left="1620"/>
        <w:spacing w:after="0"/>
        <w:rPr>
          <w:sz w:val="20"/>
          <w:szCs w:val="20"/>
          <w:color w:val="auto"/>
        </w:rPr>
      </w:pPr>
      <w:r>
        <w:rPr>
          <w:rFonts w:ascii="Times New Roman" w:cs="Times New Roman" w:eastAsia="Times New Roman" w:hAnsi="Times New Roman"/>
          <w:sz w:val="20"/>
          <w:szCs w:val="20"/>
          <w:color w:val="auto"/>
        </w:rPr>
        <w:t>Executive’s personal investments and affairs, in each case, so long as such activities (A) do not, individually or in the</w:t>
      </w:r>
    </w:p>
    <w:p>
      <w:pPr>
        <w:ind w:left="1620"/>
        <w:spacing w:after="0" w:line="221" w:lineRule="auto"/>
        <w:rPr>
          <w:sz w:val="20"/>
          <w:szCs w:val="20"/>
          <w:color w:val="auto"/>
        </w:rPr>
      </w:pPr>
      <w:r>
        <w:rPr>
          <w:rFonts w:ascii="Times New Roman" w:cs="Times New Roman" w:eastAsia="Times New Roman" w:hAnsi="Times New Roman"/>
          <w:sz w:val="20"/>
          <w:szCs w:val="20"/>
          <w:color w:val="auto"/>
        </w:rPr>
        <w:t>aggregate, interfere with the performance of the Executive’s duties under this Agreement and (B) are not contrary to the interests of the Company or any of its affiliates or competitive with the Company or any of its affiliates.</w:t>
      </w:r>
    </w:p>
    <w:p>
      <w:pPr>
        <w:spacing w:after="0" w:line="108" w:lineRule="exact"/>
        <w:rPr>
          <w:sz w:val="20"/>
          <w:szCs w:val="20"/>
          <w:color w:val="auto"/>
        </w:rPr>
      </w:pPr>
    </w:p>
    <w:p>
      <w:pPr>
        <w:ind w:firstLine="818"/>
        <w:spacing w:after="0"/>
        <w:tabs>
          <w:tab w:leader="none" w:pos="129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compensation for all services performed by the Executive under this Agreement and during the term hereof and subject to performance of the Executive’s duties and obligations to the Company pursuant to this Agreement:</w:t>
      </w:r>
    </w:p>
    <w:p>
      <w:pPr>
        <w:spacing w:after="0" w:line="93" w:lineRule="exact"/>
        <w:rPr>
          <w:rFonts w:ascii="Times New Roman" w:cs="Times New Roman" w:eastAsia="Times New Roman" w:hAnsi="Times New Roman"/>
          <w:sz w:val="20"/>
          <w:szCs w:val="20"/>
          <w:color w:val="auto"/>
        </w:rPr>
      </w:pPr>
    </w:p>
    <w:p>
      <w:pPr>
        <w:jc w:val="both"/>
        <w:ind w:left="1620" w:hanging="316"/>
        <w:spacing w:after="0" w:line="222" w:lineRule="auto"/>
        <w:tabs>
          <w:tab w:leader="none" w:pos="160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shall pay the Executive a base salary at the rate of $450,000 per annum (the “Base Salary”). The Executive’s base salary shall be payable in accordance with the payroll practices of the Company for its executives and subject to increase from time to time by the Board, in its sole discretion. The base salary set forth in this Section 4(a), as from time to time increased, is hereafter referred to as the “Base Salary.”</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0" w:lineRule="auto"/>
        <w:tabs>
          <w:tab w:leader="none" w:pos="162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Incentive Plan</w:t>
      </w:r>
      <w:r>
        <w:rPr>
          <w:rFonts w:ascii="Times New Roman" w:cs="Times New Roman" w:eastAsia="Times New Roman" w:hAnsi="Times New Roman"/>
          <w:sz w:val="20"/>
          <w:szCs w:val="20"/>
          <w:color w:val="auto"/>
        </w:rPr>
        <w:t>. For fiscal year 2024 only and, subject to Executive’s continued employment in good standing with the Company, Executive will receive a guaranteed cash bonus in the amount of $175,000 (the “2024 Guaranteed Bonus”) to be paid in accordance with the Company’s regular payroll practices (currently March 2025), subject to applicable tax reporting and withholding requirements. Beginning in 2025 and for each complete fiscal year thereafter, the Executive shall be eligible to earn an annual performance-based bonus (the “Annual Bonus”). The Executive’s annual target bonus opportunity for each such fiscal year shall be based on the achievement of financial, operational, and strategic/individual objectives established by the Board, in its sole discretion. The terms of the Annual Bonus, including Executive’s financial, operational, and strategic/individual objectives, are subject to approval by the Board and/or its designees, and may be modified from time to time. Except for the 2024 Guaranteed Bonus, all payouts are based on achieving such financial, operational, and strategic/individual objectives, are discretionary, and if such threshold performance objectives are not achieved for any fiscal year after 2024, then the Executive shall not receive an Annual Bonus for such fiscal year. Executive must be employed at the time of payout and, with the exception of the 2024 Guaranteed Bonus, payout may be made via any method of payment determined by the Board to include equity and/or cash.</w:t>
      </w:r>
    </w:p>
    <w:p>
      <w:pPr>
        <w:spacing w:after="0" w:line="112" w:lineRule="exact"/>
        <w:rPr>
          <w:rFonts w:ascii="Times New Roman" w:cs="Times New Roman" w:eastAsia="Times New Roman" w:hAnsi="Times New Roman"/>
          <w:sz w:val="20"/>
          <w:szCs w:val="20"/>
          <w:color w:val="auto"/>
        </w:rPr>
      </w:pPr>
    </w:p>
    <w:p>
      <w:pPr>
        <w:jc w:val="both"/>
        <w:ind w:left="1620" w:hanging="316"/>
        <w:spacing w:after="0" w:line="215" w:lineRule="auto"/>
        <w:tabs>
          <w:tab w:leader="none" w:pos="160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Incentives</w:t>
      </w:r>
      <w:r>
        <w:rPr>
          <w:rFonts w:ascii="Times New Roman" w:cs="Times New Roman" w:eastAsia="Times New Roman" w:hAnsi="Times New Roman"/>
          <w:sz w:val="20"/>
          <w:szCs w:val="20"/>
          <w:color w:val="auto"/>
        </w:rPr>
        <w:t>. Subject to approval of the Board, on or as soon as reasonably practicable after the Commencement Date, the Executive will be granted 350,000 Restricted Stock Units pursuant to and as defined in the Ascend Wellness Holdings, Inc. 2021 Stock Incentive Plan (the “Plan”) and subject to the terms and conditions of the applicable award agreement (“Initial RSU Grant”). The Initial RSU Grant shall vest twenty-five percent (25%) annually over a four (4) year period. Executive shall be eligible to participate in the Company’s Long Term Incentive Program, starting in the 2025 fiscal year, the terms of which are subject to the Board or its designee’s discretion from year to year. The Initial RSU Grant shall be subject to the terms and conditions of the Plan. In the event of a conflict between the terms of this Agreement and the Plan, the Plan shall govern.</w:t>
      </w:r>
    </w:p>
    <w:p>
      <w:pPr>
        <w:spacing w:after="0" w:line="93"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During the term hereof, the Executive shall be entitled to vacation, personal days, sick time and similar paid time off benefits in accordance with the applicable policies of the Company, as in effect from time to time.</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7" w:lineRule="auto"/>
        <w:tabs>
          <w:tab w:leader="none" w:pos="160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Benefits</w:t>
      </w:r>
      <w:r>
        <w:rPr>
          <w:rFonts w:ascii="Times New Roman" w:cs="Times New Roman" w:eastAsia="Times New Roman" w:hAnsi="Times New Roman"/>
          <w:sz w:val="20"/>
          <w:szCs w:val="20"/>
          <w:color w:val="auto"/>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“Insurance Benefits”). The Executive’s participation in such Insurance Benefits shall be subject to applicable law, the terms of the applicable plan documents and generally applicable Company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4" w:right="339" w:bottom="1440" w:gutter="0" w:footer="0" w:header="0"/>
        </w:sectPr>
      </w:pPr>
    </w:p>
    <w:bookmarkStart w:id="110" w:name="page111"/>
    <w:bookmarkEnd w:id="110"/>
    <w:p>
      <w:pPr>
        <w:ind w:left="1620" w:right="20"/>
        <w:spacing w:after="0"/>
        <w:rPr>
          <w:sz w:val="20"/>
          <w:szCs w:val="20"/>
          <w:color w:val="auto"/>
        </w:rPr>
      </w:pPr>
      <w:r>
        <w:rPr>
          <w:rFonts w:ascii="Times New Roman" w:cs="Times New Roman" w:eastAsia="Times New Roman" w:hAnsi="Times New Roman"/>
          <w:sz w:val="20"/>
          <w:szCs w:val="20"/>
          <w:color w:val="auto"/>
        </w:rPr>
        <w:t>Notwithstanding anything herein to the contrary, the Company may amend, modify or terminate any Insurance Benefits at any time in its discretion.</w:t>
      </w:r>
    </w:p>
    <w:p>
      <w:pPr>
        <w:spacing w:after="0" w:line="94" w:lineRule="exact"/>
        <w:rPr>
          <w:sz w:val="20"/>
          <w:szCs w:val="20"/>
          <w:color w:val="auto"/>
        </w:rPr>
      </w:pPr>
    </w:p>
    <w:p>
      <w:pPr>
        <w:jc w:val="both"/>
        <w:ind w:left="1620" w:hanging="316"/>
        <w:spacing w:after="0" w:line="218" w:lineRule="auto"/>
        <w:tabs>
          <w:tab w:leader="none" w:pos="161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spacing w:after="0" w:line="96" w:lineRule="exact"/>
        <w:rPr>
          <w:rFonts w:ascii="Times New Roman" w:cs="Times New Roman" w:eastAsia="Times New Roman" w:hAnsi="Times New Roman"/>
          <w:sz w:val="20"/>
          <w:szCs w:val="20"/>
          <w:color w:val="auto"/>
        </w:rPr>
      </w:pPr>
    </w:p>
    <w:p>
      <w:pPr>
        <w:ind w:firstLine="818"/>
        <w:spacing w:after="0"/>
        <w:tabs>
          <w:tab w:leader="none" w:pos="129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Resignation for Good Reason, and Severance Benefits</w:t>
      </w:r>
      <w:r>
        <w:rPr>
          <w:rFonts w:ascii="Times New Roman" w:cs="Times New Roman" w:eastAsia="Times New Roman" w:hAnsi="Times New Roman"/>
          <w:sz w:val="20"/>
          <w:szCs w:val="20"/>
          <w:color w:val="auto"/>
        </w:rPr>
        <w:t>. Notwithstanding the provisions of Section 2 hereof, the Executive’s employment hereunder shall end under the following circumstances:</w:t>
      </w:r>
    </w:p>
    <w:p>
      <w:pPr>
        <w:spacing w:after="0" w:line="107" w:lineRule="exact"/>
        <w:rPr>
          <w:rFonts w:ascii="Times New Roman" w:cs="Times New Roman" w:eastAsia="Times New Roman" w:hAnsi="Times New Roman"/>
          <w:sz w:val="20"/>
          <w:szCs w:val="20"/>
          <w:color w:val="auto"/>
        </w:rPr>
      </w:pPr>
    </w:p>
    <w:p>
      <w:pPr>
        <w:jc w:val="both"/>
        <w:ind w:left="1620" w:hanging="316"/>
        <w:spacing w:after="0" w:line="210" w:lineRule="auto"/>
        <w:tabs>
          <w:tab w:leader="none" w:pos="160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In the event of the Executive’s death during the term hereof, the Executive’s employment hereunder shall immediately and automatically terminate. In such event, the Company shall pay to the Executive’s designated beneficiary or, if no beneficiary has been designated by the Executive, to his estate, (i) the Base Salary earned but not paid through the date of termination (to be paid in accordance with the Company’s normal payroll policies or at such earlier time as required by applicable law), (ii) the value of any vacation time earned but not used through the date of termination (to be paid in accordance with the Company’s policies and applicable law), and (iii)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“Final Compensation”). In addition to Final Compensation, if the Executive’s employment terminates due to his death during the term hereof, the Executive’s estate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or his estate hereunder.</w:t>
      </w:r>
    </w:p>
    <w:p>
      <w:pPr>
        <w:spacing w:after="0" w:line="110"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2120" w:hanging="434"/>
        <w:spacing w:after="0" w:line="211" w:lineRule="auto"/>
        <w:tabs>
          <w:tab w:leader="none" w:pos="212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the Executive’s employment hereunder,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with or without reasonable accommodation, for any period of ninety (90) consecutive days or more, or one hundred eighty (180) days (whether or not consecutive) during any period of three hundred and sixty-five (365) consecutive calendar days. In the event of such termination, the Company shall pay to the Executive the Final Compensation and shall otherwise comply with the provisions of this Section 5(b). In addition to such Final Compensation, the Executive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hereunder.</w:t>
      </w:r>
    </w:p>
    <w:p>
      <w:pPr>
        <w:spacing w:after="0" w:line="111" w:lineRule="exact"/>
        <w:rPr>
          <w:rFonts w:ascii="Times New Roman" w:cs="Times New Roman" w:eastAsia="Times New Roman" w:hAnsi="Times New Roman"/>
          <w:sz w:val="20"/>
          <w:szCs w:val="20"/>
          <w:color w:val="auto"/>
        </w:rPr>
      </w:pPr>
    </w:p>
    <w:p>
      <w:pPr>
        <w:jc w:val="both"/>
        <w:ind w:left="2120" w:hanging="489"/>
        <w:spacing w:after="0" w:line="220" w:lineRule="auto"/>
        <w:tabs>
          <w:tab w:leader="none" w:pos="212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terminating the Executive’s employment hereunder, the Board may designate another employee to act in the Executive’s place during any period of the Executive’s disability. Notwithstanding any such designation, the Executive shall continue to receive the Base Salary in accordance with Section 4(a) and Insurance Benefits in accordance with Section 4(e), to the extent permitted by the then-current terms of the applicable benefit plans, until the Executive becomes eligible for long- term disability income benefits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111" w:name="page112"/>
    <w:bookmarkEnd w:id="111"/>
    <w:p>
      <w:pPr>
        <w:ind w:left="1140"/>
        <w:spacing w:after="0"/>
        <w:rPr>
          <w:sz w:val="20"/>
          <w:szCs w:val="20"/>
          <w:color w:val="auto"/>
        </w:rPr>
      </w:pPr>
      <w:r>
        <w:rPr>
          <w:rFonts w:ascii="Times New Roman" w:cs="Times New Roman" w:eastAsia="Times New Roman" w:hAnsi="Times New Roman"/>
          <w:sz w:val="20"/>
          <w:szCs w:val="20"/>
          <w:color w:val="auto"/>
        </w:rPr>
        <w:t>Company’s disability income plan (or any disability insurance policy of the Company).</w:t>
      </w:r>
    </w:p>
    <w:p>
      <w:pPr>
        <w:spacing w:after="0" w:line="135" w:lineRule="exact"/>
        <w:rPr>
          <w:sz w:val="20"/>
          <w:szCs w:val="20"/>
          <w:color w:val="auto"/>
        </w:rPr>
      </w:pPr>
    </w:p>
    <w:p>
      <w:pPr>
        <w:jc w:val="both"/>
        <w:ind w:left="1140" w:hanging="544"/>
        <w:spacing w:after="0" w:line="217" w:lineRule="auto"/>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becomes eligible to receive disability income payments under the Company’s disability income plan (or any disability insurance policy of the Company), the Executive shall be entitled to receive Base Salary under Section 4(a) hereof less the amount of such disability income payments being made to the Executive, and shall continue to participate in Company benefit plans in accordance with Section 4(e) and as permitted by the terms of such plans, in each case, until the termination of his employment.</w:t>
      </w:r>
    </w:p>
    <w:p>
      <w:pPr>
        <w:spacing w:after="0" w:line="108" w:lineRule="exact"/>
        <w:rPr>
          <w:sz w:val="20"/>
          <w:szCs w:val="20"/>
          <w:color w:val="auto"/>
        </w:rPr>
      </w:pPr>
    </w:p>
    <w:p>
      <w:pPr>
        <w:jc w:val="both"/>
        <w:ind w:left="1140" w:hanging="533"/>
        <w:spacing w:after="0" w:line="215" w:lineRule="auto"/>
        <w:tabs>
          <w:tab w:leader="none" w:pos="1127"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as to whether during any period the Executive is disabled through any illness, injury, accident or condition of either a physical or psychological nature so as to be unable to perform substantially all of his duties and responsibilities hereunder shall be made by a physician satisfactory to both the Executive (or his duly appointed guardian) and the Company, provided that if the Executive and the Company do not agree on a physician, the Executive and the Company shall each select a physician and these two together shall select a third physician, whose determination as to disability shall be binding on all parties. If the Executive fails to submit to such medical examination, the Company’s determination of the issue shall be binding on the Executive.</w:t>
      </w:r>
    </w:p>
    <w:p>
      <w:pPr>
        <w:spacing w:after="0" w:line="110" w:lineRule="exact"/>
        <w:rPr>
          <w:rFonts w:ascii="Times New Roman" w:cs="Times New Roman" w:eastAsia="Times New Roman" w:hAnsi="Times New Roman"/>
          <w:sz w:val="20"/>
          <w:szCs w:val="20"/>
          <w:color w:val="auto"/>
        </w:rPr>
      </w:pPr>
    </w:p>
    <w:p>
      <w:pPr>
        <w:jc w:val="both"/>
        <w:ind w:left="1140" w:hanging="479"/>
        <w:spacing w:after="0" w:line="227" w:lineRule="auto"/>
        <w:tabs>
          <w:tab w:leader="none" w:pos="1127"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temporarily replaces Executive or transfers the Executive’s duties or responsibilities to another individual on account of the Executive’s inability to perform such duties due to an incapacity which is, or is reasonably expected to become, a Disability, then the Executive’s employment shall not be deemed terminated by the Company and Executive shall not be able to resign with Good Reason (as defined below) as a result thereof (for the avoidance of doubt, the Employee shall resume his employment under this Agreement upon his return from any such temporary inability to perform such duties or physical incapacity that does not become a Disability).</w:t>
      </w:r>
    </w:p>
    <w:p>
      <w:pPr>
        <w:spacing w:after="0" w:line="96" w:lineRule="exact"/>
        <w:rPr>
          <w:rFonts w:ascii="Times New Roman" w:cs="Times New Roman" w:eastAsia="Times New Roman" w:hAnsi="Times New Roman"/>
          <w:sz w:val="19"/>
          <w:szCs w:val="19"/>
          <w:color w:val="auto"/>
        </w:rPr>
      </w:pPr>
    </w:p>
    <w:p>
      <w:pPr>
        <w:jc w:val="both"/>
        <w:ind w:left="320" w:hanging="320"/>
        <w:spacing w:after="0" w:line="230" w:lineRule="auto"/>
        <w:tabs>
          <w:tab w:leader="none" w:pos="30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for Cause</w:t>
      </w:r>
      <w:r>
        <w:rPr>
          <w:rFonts w:ascii="Times New Roman" w:cs="Times New Roman" w:eastAsia="Times New Roman" w:hAnsi="Times New Roman"/>
          <w:sz w:val="20"/>
          <w:szCs w:val="20"/>
          <w:color w:val="auto"/>
        </w:rPr>
        <w:t>. The Company may terminate the Executive’s employment hereunder for Cause at any time upon notice to the Executive setting forth in reasonable detail the nature of such Cause. The following shall constitute “Cause” for termination:</w:t>
      </w:r>
    </w:p>
    <w:p>
      <w:pPr>
        <w:spacing w:after="0" w:line="94" w:lineRule="exact"/>
        <w:rPr>
          <w:rFonts w:ascii="Times New Roman" w:cs="Times New Roman" w:eastAsia="Times New Roman" w:hAnsi="Times New Roman"/>
          <w:sz w:val="20"/>
          <w:szCs w:val="20"/>
          <w:color w:val="auto"/>
        </w:rPr>
      </w:pPr>
    </w:p>
    <w:p>
      <w:pPr>
        <w:ind w:left="1140" w:hanging="434"/>
        <w:spacing w:after="0"/>
        <w:tabs>
          <w:tab w:leader="none" w:pos="114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or neglect by the Executive to perform the material duties of his employment or to follow the lawful directions of the Board (other than by reason of the Executive’s physical or mental illness or impairment);</w:t>
      </w:r>
    </w:p>
    <w:p>
      <w:pPr>
        <w:spacing w:after="0" w:line="107" w:lineRule="exact"/>
        <w:rPr>
          <w:rFonts w:ascii="Times New Roman" w:cs="Times New Roman" w:eastAsia="Times New Roman" w:hAnsi="Times New Roman"/>
          <w:sz w:val="20"/>
          <w:szCs w:val="20"/>
          <w:color w:val="auto"/>
        </w:rPr>
      </w:pPr>
    </w:p>
    <w:p>
      <w:pPr>
        <w:ind w:left="1140" w:hanging="489"/>
        <w:spacing w:after="0" w:line="233" w:lineRule="auto"/>
        <w:tabs>
          <w:tab w:leader="none" w:pos="114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non-performance by the Executive of such duties and responsibilities on behalf of the Company as are customarily performed by a Chief Financial Officer of a company of comparable size;</w:t>
      </w:r>
    </w:p>
    <w:p>
      <w:pPr>
        <w:spacing w:after="0" w:line="106" w:lineRule="exact"/>
        <w:rPr>
          <w:rFonts w:ascii="Times New Roman" w:cs="Times New Roman" w:eastAsia="Times New Roman" w:hAnsi="Times New Roman"/>
          <w:sz w:val="20"/>
          <w:szCs w:val="20"/>
          <w:color w:val="auto"/>
        </w:rPr>
      </w:pPr>
    </w:p>
    <w:p>
      <w:pPr>
        <w:ind w:left="1140" w:hanging="544"/>
        <w:spacing w:after="0"/>
        <w:tabs>
          <w:tab w:leader="none" w:pos="114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committing any act of fraud, embezzlement, misappropriation, or theft;</w:t>
      </w:r>
    </w:p>
    <w:p>
      <w:pPr>
        <w:spacing w:after="0" w:line="134" w:lineRule="exact"/>
        <w:rPr>
          <w:rFonts w:ascii="Times New Roman" w:cs="Times New Roman" w:eastAsia="Times New Roman" w:hAnsi="Times New Roman"/>
          <w:sz w:val="20"/>
          <w:szCs w:val="20"/>
          <w:color w:val="auto"/>
        </w:rPr>
      </w:pPr>
    </w:p>
    <w:p>
      <w:pPr>
        <w:ind w:left="1120" w:hanging="513"/>
        <w:spacing w:after="0"/>
        <w:tabs>
          <w:tab w:leader="none" w:pos="112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violation of the Company’s policies;</w:t>
      </w:r>
    </w:p>
    <w:p>
      <w:pPr>
        <w:spacing w:after="0" w:line="121" w:lineRule="exact"/>
        <w:rPr>
          <w:rFonts w:ascii="Times New Roman" w:cs="Times New Roman" w:eastAsia="Times New Roman" w:hAnsi="Times New Roman"/>
          <w:sz w:val="20"/>
          <w:szCs w:val="20"/>
          <w:color w:val="auto"/>
        </w:rPr>
      </w:pPr>
    </w:p>
    <w:p>
      <w:pPr>
        <w:jc w:val="both"/>
        <w:ind w:left="1140" w:hanging="479"/>
        <w:spacing w:after="0" w:line="230" w:lineRule="auto"/>
        <w:tabs>
          <w:tab w:leader="none" w:pos="1127"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behavior or engagement in any acts that may interfere with the ability of the Company or any of its affiliates to maintain a license to harvest, cultivate, process, or sell cannabis or otherwise continue to operate its business;</w:t>
      </w:r>
    </w:p>
    <w:p>
      <w:pPr>
        <w:spacing w:after="0" w:line="94" w:lineRule="exact"/>
        <w:rPr>
          <w:rFonts w:ascii="Times New Roman" w:cs="Times New Roman" w:eastAsia="Times New Roman" w:hAnsi="Times New Roman"/>
          <w:sz w:val="20"/>
          <w:szCs w:val="20"/>
          <w:color w:val="auto"/>
        </w:rPr>
      </w:pPr>
    </w:p>
    <w:p>
      <w:pPr>
        <w:jc w:val="both"/>
        <w:ind w:left="1140" w:hanging="533"/>
        <w:spacing w:after="0" w:line="222" w:lineRule="auto"/>
        <w:tabs>
          <w:tab w:leader="none" w:pos="1140"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breach of any non-disclosure, non-disparagement, non- competition, non- solicitation, assignment of inventions agreement or other restrictive covenants set forth herein, other than the Executive’s inadvertent and immaterial breach of any non- competition or non-disclosure obligation that is not otherwise detrimental to the Company or any of its affiliates;</w:t>
      </w:r>
    </w:p>
    <w:p>
      <w:pPr>
        <w:spacing w:after="0" w:line="107" w:lineRule="exact"/>
        <w:rPr>
          <w:rFonts w:ascii="Times New Roman" w:cs="Times New Roman" w:eastAsia="Times New Roman" w:hAnsi="Times New Roman"/>
          <w:sz w:val="20"/>
          <w:szCs w:val="20"/>
          <w:color w:val="auto"/>
        </w:rPr>
      </w:pPr>
    </w:p>
    <w:p>
      <w:pPr>
        <w:ind w:left="1140" w:hanging="588"/>
        <w:spacing w:after="0"/>
        <w:tabs>
          <w:tab w:leader="none" w:pos="1140"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conviction of a felony (including pleading guilty or nolo contendere to a felony) or commitment of other acts causing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260"/>
          </w:cols>
          <w:pgMar w:left="1300" w:top="1399" w:right="339" w:bottom="1440" w:gutter="0" w:footer="0" w:header="0"/>
        </w:sectPr>
      </w:pPr>
    </w:p>
    <w:bookmarkStart w:id="112" w:name="page113"/>
    <w:bookmarkEnd w:id="112"/>
    <w:p>
      <w:pPr>
        <w:ind w:left="2120"/>
        <w:spacing w:after="0"/>
        <w:rPr>
          <w:sz w:val="20"/>
          <w:szCs w:val="20"/>
          <w:color w:val="auto"/>
        </w:rPr>
      </w:pPr>
      <w:r>
        <w:rPr>
          <w:rFonts w:ascii="Times New Roman" w:cs="Times New Roman" w:eastAsia="Times New Roman" w:hAnsi="Times New Roman"/>
          <w:sz w:val="20"/>
          <w:szCs w:val="20"/>
          <w:color w:val="auto"/>
        </w:rPr>
        <w:t>detriment to the reputation, the business or a business relationship of the Company or any of its affiliates;</w:t>
      </w:r>
    </w:p>
    <w:p>
      <w:pPr>
        <w:ind w:left="2120"/>
        <w:spacing w:after="0" w:line="204" w:lineRule="auto"/>
        <w:rPr>
          <w:sz w:val="20"/>
          <w:szCs w:val="20"/>
          <w:color w:val="auto"/>
        </w:rPr>
      </w:pPr>
      <w:r>
        <w:rPr>
          <w:rFonts w:ascii="Times New Roman" w:cs="Times New Roman" w:eastAsia="Times New Roman" w:hAnsi="Times New Roman"/>
          <w:sz w:val="20"/>
          <w:szCs w:val="20"/>
          <w:color w:val="auto"/>
        </w:rPr>
        <w:t>provided, however, that for the avoidance of doubt, no conviction or plea of nolo contendere of a felony or crime that occurs solely as a result of a violation of U.S. federal law concerning cannabis or the cannabis industry shall</w:t>
      </w:r>
    </w:p>
    <w:p>
      <w:pPr>
        <w:ind w:left="2120"/>
        <w:spacing w:after="0" w:line="211" w:lineRule="auto"/>
        <w:rPr>
          <w:sz w:val="20"/>
          <w:szCs w:val="20"/>
          <w:color w:val="auto"/>
        </w:rPr>
      </w:pPr>
      <w:r>
        <w:rPr>
          <w:rFonts w:ascii="Times New Roman" w:cs="Times New Roman" w:eastAsia="Times New Roman" w:hAnsi="Times New Roman"/>
          <w:sz w:val="20"/>
          <w:szCs w:val="20"/>
          <w:color w:val="auto"/>
        </w:rPr>
        <w:t>be deemed to constitute “Cause”, so long as (A) the acts, omissions, conduct or activity related to cannabis or the</w:t>
      </w:r>
    </w:p>
    <w:p>
      <w:pPr>
        <w:spacing w:after="0" w:line="1" w:lineRule="exact"/>
        <w:rPr>
          <w:sz w:val="20"/>
          <w:szCs w:val="20"/>
          <w:color w:val="auto"/>
        </w:rPr>
      </w:pPr>
    </w:p>
    <w:p>
      <w:pPr>
        <w:ind w:left="2120" w:right="20"/>
        <w:spacing w:after="0" w:line="204" w:lineRule="auto"/>
        <w:rPr>
          <w:sz w:val="20"/>
          <w:szCs w:val="20"/>
          <w:color w:val="auto"/>
        </w:rPr>
      </w:pPr>
      <w:r>
        <w:rPr>
          <w:rFonts w:ascii="Times New Roman" w:cs="Times New Roman" w:eastAsia="Times New Roman" w:hAnsi="Times New Roman"/>
          <w:sz w:val="20"/>
          <w:szCs w:val="20"/>
          <w:color w:val="auto"/>
        </w:rPr>
        <w:t>cannabis industry giving rise to any such conviction or plea of nolo contendere of a felony or crime could be reasonably believed to be in compliance with applicable state and local laws and (B) such conviction or plea of</w:t>
      </w:r>
    </w:p>
    <w:p>
      <w:pPr>
        <w:spacing w:after="0" w:line="1" w:lineRule="exact"/>
        <w:rPr>
          <w:sz w:val="20"/>
          <w:szCs w:val="20"/>
          <w:color w:val="auto"/>
        </w:rPr>
      </w:pPr>
    </w:p>
    <w:p>
      <w:pPr>
        <w:ind w:left="2120"/>
        <w:spacing w:after="0" w:line="228" w:lineRule="auto"/>
        <w:rPr>
          <w:sz w:val="20"/>
          <w:szCs w:val="20"/>
          <w:color w:val="auto"/>
        </w:rPr>
      </w:pPr>
      <w:r>
        <w:rPr>
          <w:rFonts w:ascii="Times New Roman" w:cs="Times New Roman" w:eastAsia="Times New Roman" w:hAnsi="Times New Roman"/>
          <w:sz w:val="20"/>
          <w:szCs w:val="20"/>
          <w:color w:val="auto"/>
        </w:rPr>
        <w:t>nolo contendere is not likely to interfere with the ability of the Company or any of its affiliates to maintain a license to harvest, cultivate, process, or sell cannabis or otherwise continue to operate its business;</w:t>
      </w:r>
    </w:p>
    <w:p>
      <w:pPr>
        <w:spacing w:after="0" w:line="95" w:lineRule="exact"/>
        <w:rPr>
          <w:sz w:val="20"/>
          <w:szCs w:val="20"/>
          <w:color w:val="auto"/>
        </w:rPr>
      </w:pPr>
    </w:p>
    <w:p>
      <w:pPr>
        <w:jc w:val="both"/>
        <w:ind w:left="2120" w:hanging="643"/>
        <w:spacing w:after="0" w:line="215" w:lineRule="auto"/>
        <w:tabs>
          <w:tab w:leader="none" w:pos="21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engagement in dishonesty, unlawful conduct (other than solely as a result of a violation of U.S. federal law concerning cannabis or the cannabis industry, so long as (A) the acts, omissions, conduct or activity related to cannabis or the cannabis industry giving rise to such illegal conduct could be reasonably believed to be in compliance with applicable state and local laws and (B) such unlawful conduct is not likely to interfere with the ability of the Company or any of its affiliates to maintain a license to harvest, cultivate, process, or sell cannabis or otherwise continue to operate its business), or misconduct, which in each case is injurious (monetarily or otherwise) to the Company or its affiliates; or</w:t>
      </w:r>
    </w:p>
    <w:p>
      <w:pPr>
        <w:spacing w:after="0" w:line="110" w:lineRule="exact"/>
        <w:rPr>
          <w:rFonts w:ascii="Times New Roman" w:cs="Times New Roman" w:eastAsia="Times New Roman" w:hAnsi="Times New Roman"/>
          <w:sz w:val="20"/>
          <w:szCs w:val="20"/>
          <w:color w:val="auto"/>
        </w:rPr>
      </w:pPr>
    </w:p>
    <w:p>
      <w:pPr>
        <w:ind w:left="2120" w:hanging="533"/>
        <w:spacing w:after="0"/>
        <w:tabs>
          <w:tab w:leader="none" w:pos="21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breach of the terms of this Agreement.</w:t>
      </w:r>
    </w:p>
    <w:p>
      <w:pPr>
        <w:spacing w:after="0" w:line="135"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0"/>
          <w:szCs w:val="20"/>
          <w:color w:val="auto"/>
        </w:rPr>
        <w:t>Upon the termination of the Executive’s employment hereunder for Cause, the Company shall have no further obligation hereunder to the Executive, other than for Final Compensation.</w:t>
      </w:r>
    </w:p>
    <w:p>
      <w:pPr>
        <w:spacing w:after="0" w:line="107" w:lineRule="exact"/>
        <w:rPr>
          <w:sz w:val="20"/>
          <w:szCs w:val="20"/>
          <w:color w:val="auto"/>
        </w:rPr>
      </w:pPr>
    </w:p>
    <w:p>
      <w:pPr>
        <w:jc w:val="both"/>
        <w:ind w:left="1300" w:hanging="320"/>
        <w:spacing w:after="0" w:line="209" w:lineRule="auto"/>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Other than for Cause</w:t>
      </w:r>
      <w:r>
        <w:rPr>
          <w:rFonts w:ascii="Times New Roman" w:cs="Times New Roman" w:eastAsia="Times New Roman" w:hAnsi="Times New Roman"/>
          <w:sz w:val="20"/>
          <w:szCs w:val="20"/>
          <w:color w:val="auto"/>
        </w:rPr>
        <w:t>. The Company may terminate the Executive’s employment hereunder other than for Cause (and other than in connection with the Executive’s death or disability) at any time upon written notice to the Executive. In the event of such termination, then (i) the Company shall pay to the Executive the Final Compensation, (ii) the Company shall pay the Executive an amount equal to the sum of fifty-percent (50%) of the Base Salary earned by the Executive for the full fiscal year immediately preceding the fiscal year in which such termination occurs (the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payable in substantially equal installments in accordance with the Company’s normal payroll practices as in effect from time to time, over the six (6) month period immediately following the termination date (with the first payment to be made on the first payroll date following the effective date of the Employee Release (as defined below) and to include a catch-up to cover any payment that would have been made prior to such date had the Employee Release been effective on the termination date); provided that, if the period from the termination date through the last day that the payments could begin spans two calendar years, such payments shall commence in the second calendar year; provided further that if such termination date occurs prior to the conclusion of one full fiscal year of employment from the original hire date, it shall be assumed, for purposes of determining the Termination Compensation, that Executive earned one full fiscal year of his current Base Salary; provided, further, that, if (and only if) such termination date occurs within eighteen (18) months after a Change of Control Event (as defined below), then the Termination Compensation shall be increased to one-hundred percent (100%) of Executive’s Base Salary and shall be payable to the Executive in a lump sum payment on the first payroll date following the Effective date of the Employee Release (rather than in installments, as provided above in this clause (ii)) and any unvested Time-Vesting Initial RSUs shall vest, (iii) subject to any employee contribution applicable to the Executive as of immediately prior to the date of termination, the Company shall continue to pay the cost of the Executive’s participation in the Company’s medical and dental insurance plans for a period of six (6) months, provided that if the Executive’s continued participation in such plans would result in a violation of any non-discrimination rules or result in any fines, penalties or excise taxes to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4" w:right="339" w:bottom="1440" w:gutter="0" w:footer="0" w:header="0"/>
        </w:sectPr>
      </w:pPr>
    </w:p>
    <w:bookmarkStart w:id="113" w:name="page114"/>
    <w:bookmarkEnd w:id="113"/>
    <w:p>
      <w:pPr>
        <w:ind w:left="320"/>
        <w:spacing w:after="0"/>
        <w:rPr>
          <w:sz w:val="20"/>
          <w:szCs w:val="20"/>
          <w:color w:val="auto"/>
        </w:rPr>
      </w:pPr>
      <w:r>
        <w:rPr>
          <w:rFonts w:ascii="Times New Roman" w:cs="Times New Roman" w:eastAsia="Times New Roman" w:hAnsi="Times New Roman"/>
          <w:sz w:val="19"/>
          <w:szCs w:val="19"/>
          <w:color w:val="auto"/>
        </w:rPr>
        <w:t>any of its affiliates or if the Executive is otherwise not eligible to continue participation in such plans under applicable law or</w:t>
      </w:r>
    </w:p>
    <w:p>
      <w:pPr>
        <w:spacing w:after="0" w:line="6" w:lineRule="exact"/>
        <w:rPr>
          <w:sz w:val="20"/>
          <w:szCs w:val="20"/>
          <w:color w:val="auto"/>
        </w:rPr>
      </w:pPr>
    </w:p>
    <w:p>
      <w:pPr>
        <w:ind w:left="320"/>
        <w:spacing w:after="0" w:line="215" w:lineRule="auto"/>
        <w:rPr>
          <w:sz w:val="20"/>
          <w:szCs w:val="20"/>
          <w:color w:val="auto"/>
        </w:rPr>
      </w:pPr>
      <w:r>
        <w:rPr>
          <w:rFonts w:ascii="Times New Roman" w:cs="Times New Roman" w:eastAsia="Times New Roman" w:hAnsi="Times New Roman"/>
          <w:sz w:val="19"/>
          <w:szCs w:val="19"/>
          <w:color w:val="auto"/>
        </w:rPr>
        <w:t>plan terms, then, to the extent possible without resulting in such violation, fines, penalties or excise taxes, the Company shall instead make monthly cash payments to the Executive in an amount equal to the employer portion of the monthly insurance</w:t>
      </w:r>
    </w:p>
    <w:p>
      <w:pPr>
        <w:ind w:left="320"/>
        <w:spacing w:after="0" w:line="211" w:lineRule="auto"/>
        <w:rPr>
          <w:sz w:val="20"/>
          <w:szCs w:val="20"/>
          <w:color w:val="auto"/>
        </w:rPr>
      </w:pPr>
      <w:r>
        <w:rPr>
          <w:rFonts w:ascii="Times New Roman" w:cs="Times New Roman" w:eastAsia="Times New Roman" w:hAnsi="Times New Roman"/>
          <w:sz w:val="20"/>
          <w:szCs w:val="20"/>
          <w:color w:val="auto"/>
        </w:rPr>
        <w:t>premiums that would have been applicable had the Executive been eligible to continue such participation (the benefit</w:t>
      </w:r>
    </w:p>
    <w:p>
      <w:pPr>
        <w:ind w:left="320" w:right="20"/>
        <w:spacing w:after="0" w:line="221" w:lineRule="auto"/>
        <w:rPr>
          <w:sz w:val="20"/>
          <w:szCs w:val="20"/>
          <w:color w:val="auto"/>
        </w:rPr>
      </w:pPr>
      <w:r>
        <w:rPr>
          <w:rFonts w:ascii="Times New Roman" w:cs="Times New Roman" w:eastAsia="Times New Roman" w:hAnsi="Times New Roman"/>
          <w:sz w:val="20"/>
          <w:szCs w:val="20"/>
          <w:color w:val="auto"/>
        </w:rPr>
        <w:t>described in this clause (iii), collectively, the “Benefit Continuation”) (items (i) – (iii) collectively shall be defined as the “Severance Benefits”).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For purposes of this Agreement, “Change of Control Event” shall mean the consummation, after the Commencement Date,</w:t>
      </w:r>
    </w:p>
    <w:p>
      <w:pPr>
        <w:ind w:left="320"/>
        <w:spacing w:after="0" w:line="204" w:lineRule="auto"/>
        <w:rPr>
          <w:sz w:val="20"/>
          <w:szCs w:val="20"/>
          <w:color w:val="auto"/>
        </w:rPr>
      </w:pPr>
      <w:r>
        <w:rPr>
          <w:rFonts w:ascii="Times New Roman" w:cs="Times New Roman" w:eastAsia="Times New Roman" w:hAnsi="Times New Roman"/>
          <w:sz w:val="20"/>
          <w:szCs w:val="20"/>
          <w:color w:val="auto"/>
        </w:rPr>
        <w:t>of (i) the sale of all or substantially all of the Company’s assets or at least a majority of voting power of the capital stock of the Company, (ii) any liquidation, dissolution or winding up of the Company, or (iii) the merger or consolidation of the</w:t>
      </w:r>
    </w:p>
    <w:p>
      <w:pPr>
        <w:ind w:left="320"/>
        <w:spacing w:after="0" w:line="211" w:lineRule="auto"/>
        <w:rPr>
          <w:sz w:val="20"/>
          <w:szCs w:val="20"/>
          <w:color w:val="auto"/>
        </w:rPr>
      </w:pPr>
      <w:r>
        <w:rPr>
          <w:rFonts w:ascii="Times New Roman" w:cs="Times New Roman" w:eastAsia="Times New Roman" w:hAnsi="Times New Roman"/>
          <w:sz w:val="20"/>
          <w:szCs w:val="20"/>
          <w:color w:val="auto"/>
        </w:rPr>
        <w:t>Company with or into another entity, except a merger or consolidation in which the holders of capital stock of the Company</w:t>
      </w:r>
    </w:p>
    <w:p>
      <w:pPr>
        <w:spacing w:after="0" w:line="1" w:lineRule="exact"/>
        <w:rPr>
          <w:sz w:val="20"/>
          <w:szCs w:val="20"/>
          <w:color w:val="auto"/>
        </w:rPr>
      </w:pPr>
    </w:p>
    <w:p>
      <w:pPr>
        <w:ind w:left="320"/>
        <w:spacing w:after="0" w:line="204" w:lineRule="auto"/>
        <w:rPr>
          <w:sz w:val="20"/>
          <w:szCs w:val="20"/>
          <w:color w:val="auto"/>
        </w:rPr>
      </w:pPr>
      <w:r>
        <w:rPr>
          <w:rFonts w:ascii="Times New Roman" w:cs="Times New Roman" w:eastAsia="Times New Roman" w:hAnsi="Times New Roman"/>
          <w:sz w:val="20"/>
          <w:szCs w:val="20"/>
          <w:color w:val="auto"/>
        </w:rPr>
        <w:t>immediately prior to such merger or consolidation continue to hold at least 50% of the voting power of the capital stock of the Company or the surviving or acquiring entity, as applicable; provided, however, that no event described in the foregoing</w:t>
      </w:r>
    </w:p>
    <w:p>
      <w:pPr>
        <w:spacing w:after="0" w:line="1" w:lineRule="exact"/>
        <w:rPr>
          <w:sz w:val="20"/>
          <w:szCs w:val="20"/>
          <w:color w:val="auto"/>
        </w:rPr>
      </w:pPr>
    </w:p>
    <w:p>
      <w:pPr>
        <w:ind w:left="320"/>
        <w:spacing w:after="0" w:line="228" w:lineRule="auto"/>
        <w:rPr>
          <w:sz w:val="20"/>
          <w:szCs w:val="20"/>
          <w:color w:val="auto"/>
        </w:rPr>
      </w:pPr>
      <w:r>
        <w:rPr>
          <w:rFonts w:ascii="Times New Roman" w:cs="Times New Roman" w:eastAsia="Times New Roman" w:hAnsi="Times New Roman"/>
          <w:sz w:val="20"/>
          <w:szCs w:val="20"/>
          <w:color w:val="auto"/>
        </w:rPr>
        <w:t>clauses (i), (ii) and (iii) shall constitute a Change of Control Event for purposes of this Agreement unless it satisfies the requirements of Treasury Regulation Section 1.409A-3(i)(5)(v) or (vii).</w:t>
      </w:r>
    </w:p>
    <w:p>
      <w:pPr>
        <w:spacing w:after="0" w:line="95" w:lineRule="exact"/>
        <w:rPr>
          <w:sz w:val="20"/>
          <w:szCs w:val="20"/>
          <w:color w:val="auto"/>
        </w:rPr>
      </w:pPr>
    </w:p>
    <w:p>
      <w:pPr>
        <w:jc w:val="both"/>
        <w:ind w:left="320" w:hanging="320"/>
        <w:spacing w:after="0" w:line="212" w:lineRule="auto"/>
        <w:tabs>
          <w:tab w:leader="none" w:pos="30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for Good Reason</w:t>
      </w:r>
      <w:r>
        <w:rPr>
          <w:rFonts w:ascii="Times New Roman" w:cs="Times New Roman" w:eastAsia="Times New Roman" w:hAnsi="Times New Roman"/>
          <w:sz w:val="20"/>
          <w:szCs w:val="20"/>
          <w:color w:val="auto"/>
        </w:rPr>
        <w:t>. Executive may terminate this Agreement at any time for Good Reason, provided that the Company shall have thirty (30) days from such notice of termination in which to cure (if curable) any act or omission constituting Good Reason pursuant to subsections (i) to (iv) below prior to the effective termination date. If the Company fails to cure the act or omission constituting Good Reason, Executive shall be entitled to the Severance Benefits. For purposes of this Agreement, “Good Reason” means: (i) any material reduction in the Executive’s Base Salary other than in connection with a general reduction in base salaries that affects all similarly situated executives in substantially the same proportions; (ii) any material reduction in the Executive’s target Annual Bonus (other than solely as a result of a reduction in Base Salary); (iii) any material diminution in the Executive’s responsibilities or authority within the Company so as to fundamentally change the nature and extent of the job other than that which occurs as a result of a Change of Control Event; (iv); and any failure by the Company to comply with any material provision of this Agreement that remains uncured after thirty (30) days.</w:t>
      </w:r>
    </w:p>
    <w:p>
      <w:pPr>
        <w:spacing w:after="0" w:line="100" w:lineRule="exact"/>
        <w:rPr>
          <w:rFonts w:ascii="Times New Roman" w:cs="Times New Roman" w:eastAsia="Times New Roman" w:hAnsi="Times New Roman"/>
          <w:sz w:val="20"/>
          <w:szCs w:val="20"/>
          <w:color w:val="auto"/>
        </w:rPr>
      </w:pPr>
    </w:p>
    <w:p>
      <w:pPr>
        <w:jc w:val="both"/>
        <w:ind w:left="320" w:hanging="320"/>
        <w:spacing w:after="0" w:line="223" w:lineRule="auto"/>
        <w:tabs>
          <w:tab w:leader="none" w:pos="31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obligation of the Company to make the payments and provide the benefits to the Executive under Section 5 (other than Final Compensation) is conditioned, however, upon the Executive (or his estate or legal representative, as applicable) signing a general release of claims and covenant not to sue (the “Employee Release”) within twenty-one (21) days (or such greater period as the Company may specify) (the “Release Period”) following the date of termination of employment and upon the Executive (or his estate or legal representative, as applicable) not revoking the Employee Release during the seven (7) day revocation period following the execution of the Employee Release (the “Revocation Period”). Notwithstanding the foregoing, if payment of Termination Compensation and the Benefit Continuation could commence in more than one taxable year based on when the Employee Release could become effective, then to the extent required by Section 409A of the Code, any such payments that would have been made during the calendar year in which the Executive’s employment terminates shall instead be withheld and paid on the first payroll date in the calendar year immediately after the calendar year in which the Executive’s employment terminates, with all remaining payments to be made as if no such delay had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260"/>
          </w:cols>
          <w:pgMar w:left="1300" w:top="1399" w:right="339" w:bottom="1440" w:gutter="0" w:footer="0" w:header="0"/>
        </w:sectPr>
      </w:pPr>
    </w:p>
    <w:bookmarkStart w:id="114" w:name="page115"/>
    <w:bookmarkEnd w:id="114"/>
    <w:p>
      <w:pPr>
        <w:ind w:firstLine="818"/>
        <w:spacing w:after="0"/>
        <w:tabs>
          <w:tab w:leader="none" w:pos="129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provisions of this Section 6 shall apply to a termination of the Executive’s employment with the Company hereunder, whether due to the expiration of the term hereof, pursuant to Section 5 or otherwise.</w:t>
      </w:r>
    </w:p>
    <w:p>
      <w:pPr>
        <w:spacing w:after="0" w:line="93" w:lineRule="exact"/>
        <w:rPr>
          <w:rFonts w:ascii="Times New Roman" w:cs="Times New Roman" w:eastAsia="Times New Roman" w:hAnsi="Times New Roman"/>
          <w:sz w:val="20"/>
          <w:szCs w:val="20"/>
          <w:color w:val="auto"/>
        </w:rPr>
      </w:pPr>
    </w:p>
    <w:p>
      <w:pPr>
        <w:jc w:val="both"/>
        <w:ind w:left="1300" w:hanging="320"/>
        <w:spacing w:after="0" w:line="218" w:lineRule="auto"/>
        <w:tabs>
          <w:tab w:leader="none" w:pos="128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Company of any applicable Final Compensation, Termination Compensation, Benefit Continuation, and/or any other amounts or benefits that may be due the Executive in each case under the applicable termination provision of Section 5 shall constitute the entire obligation of the Company to the Executive, and the Executive shall not be entitled to additional payments or benefits under any other severance agreement or executive severance plan of the Company. Upon request of the Company, the Executive shall promptly give the Company notice of all facts necessary for the Company to determine the amount and duration of its obligations in connection with any termination pursuant to Section 5 hereof.</w:t>
      </w:r>
    </w:p>
    <w:p>
      <w:pPr>
        <w:spacing w:after="0" w:line="96" w:lineRule="exact"/>
        <w:rPr>
          <w:rFonts w:ascii="Times New Roman" w:cs="Times New Roman" w:eastAsia="Times New Roman" w:hAnsi="Times New Roman"/>
          <w:sz w:val="20"/>
          <w:szCs w:val="20"/>
          <w:color w:val="auto"/>
        </w:rPr>
      </w:pPr>
    </w:p>
    <w:p>
      <w:pPr>
        <w:jc w:val="both"/>
        <w:ind w:left="1300" w:hanging="320"/>
        <w:spacing w:after="0" w:line="230" w:lineRule="auto"/>
        <w:tabs>
          <w:tab w:leader="none" w:pos="13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Benefit Continuation, all benefits shall terminate pursuant to the terms of the applicable benefit plans based on the date of termination of the Executive’s employment without regard to any continuation of any applicable Termination Compensation or other payment to the Executive following such date of termination.</w:t>
      </w:r>
    </w:p>
    <w:p>
      <w:pPr>
        <w:spacing w:after="0" w:line="94" w:lineRule="exact"/>
        <w:rPr>
          <w:rFonts w:ascii="Times New Roman" w:cs="Times New Roman" w:eastAsia="Times New Roman" w:hAnsi="Times New Roman"/>
          <w:sz w:val="20"/>
          <w:szCs w:val="20"/>
          <w:color w:val="auto"/>
        </w:rPr>
      </w:pPr>
    </w:p>
    <w:p>
      <w:pPr>
        <w:jc w:val="both"/>
        <w:ind w:left="1300" w:hanging="320"/>
        <w:spacing w:after="0" w:line="210" w:lineRule="auto"/>
        <w:tabs>
          <w:tab w:leader="none" w:pos="128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of this Agreement shall survive any termination of Executive’s employment hereunder if so provided herein or if necessary or desirable to accomplish the purposes of other surviving provisions, including without limitation the Restrictive Covenants (as defined below). The obligation of the Company to make payments and provide benefits to or on behalf of the Executive under 5(b), 5(d), 5(e) or 5(f) hereof (other than the Final Compensation) is expressly conditioned upon the Executive’s continued compliance with the Restrictive Covenants; provided that (i) the Company may not discontinue any such payments and benefits (or require repayment of any such payments or benefits already provided to the Executive) unless the Company has provided written notice to the Executive setting forth in reasonable detail the nature of such non-compliance and, if the nature of such non-compliance is such that it is capable of being remedied by the Executive without any damage to the Company, as determined by the Board, the Executive shall have failed to remedy such non-compliance within ten (10) days following receipt of such notice (it being understood that if the nature of such non-compliance is such that it is not capable of being remedied by the Executive without any damage to the Company, as determined by the Board, the Company may discontinue such payments and benefits at such time as it provides such written notice to the Executive) and (ii) to the extent curable, the Company may suspend or discontinue such payments or benefits thereafter only during such period as such non-compliance continues. The Executive recognizes that, except as expressly provided in Section 5, no compensation is earned after termination of employment.</w:t>
      </w:r>
    </w:p>
    <w:p>
      <w:pPr>
        <w:spacing w:after="0" w:line="113" w:lineRule="exact"/>
        <w:rPr>
          <w:rFonts w:ascii="Times New Roman" w:cs="Times New Roman" w:eastAsia="Times New Roman" w:hAnsi="Times New Roman"/>
          <w:sz w:val="20"/>
          <w:szCs w:val="20"/>
          <w:color w:val="auto"/>
        </w:rPr>
      </w:pPr>
    </w:p>
    <w:p>
      <w:pPr>
        <w:jc w:val="both"/>
        <w:ind w:firstLine="818"/>
        <w:spacing w:after="0" w:line="213" w:lineRule="auto"/>
        <w:tabs>
          <w:tab w:leader="none" w:pos="129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As an inducement and as essential consideration for the Company to enter into this Agreement, and in exchange for other good and valuable consideration, the Executive hereby agrees to the restrictive covenants contained in this Section 7 (the “Restrictive Covenants”).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“Company” and “affiliate” shall also refer to the predecessors and successors of the Company and any of its affiliates (as the case may be).</w:t>
      </w:r>
    </w:p>
    <w:p>
      <w:pPr>
        <w:spacing w:after="0" w:line="107" w:lineRule="exact"/>
        <w:rPr>
          <w:rFonts w:ascii="Times New Roman" w:cs="Times New Roman" w:eastAsia="Times New Roman" w:hAnsi="Times New Roman"/>
          <w:sz w:val="20"/>
          <w:szCs w:val="20"/>
          <w:color w:val="auto"/>
        </w:rPr>
      </w:pPr>
    </w:p>
    <w:p>
      <w:pPr>
        <w:jc w:val="both"/>
        <w:ind w:left="1300" w:hanging="320"/>
        <w:spacing w:after="0" w:line="220" w:lineRule="auto"/>
        <w:tabs>
          <w:tab w:leader="none" w:pos="128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9" w:right="339" w:bottom="1440" w:gutter="0" w:footer="0" w:header="0"/>
        </w:sectPr>
      </w:pPr>
    </w:p>
    <w:bookmarkStart w:id="115" w:name="page116"/>
    <w:bookmarkEnd w:id="115"/>
    <w:p>
      <w:pPr>
        <w:ind w:left="320"/>
        <w:spacing w:after="0"/>
        <w:rPr>
          <w:sz w:val="20"/>
          <w:szCs w:val="20"/>
          <w:color w:val="auto"/>
        </w:rPr>
      </w:pPr>
      <w:r>
        <w:rPr>
          <w:rFonts w:ascii="Times New Roman" w:cs="Times New Roman" w:eastAsia="Times New Roman" w:hAnsi="Times New Roman"/>
          <w:sz w:val="20"/>
          <w:szCs w:val="20"/>
          <w:color w:val="auto"/>
        </w:rPr>
        <w:t>indirectly, on the Executive’s own behalf or on behalf of any other person or entity, contact, solicit, divert, induce, call on,</w:t>
      </w:r>
    </w:p>
    <w:p>
      <w:pPr>
        <w:ind w:left="320"/>
        <w:spacing w:after="0" w:line="204" w:lineRule="auto"/>
        <w:rPr>
          <w:sz w:val="20"/>
          <w:szCs w:val="20"/>
          <w:color w:val="auto"/>
        </w:rPr>
      </w:pPr>
      <w:r>
        <w:rPr>
          <w:rFonts w:ascii="Times New Roman" w:cs="Times New Roman" w:eastAsia="Times New Roman" w:hAnsi="Times New Roman"/>
          <w:sz w:val="20"/>
          <w:szCs w:val="20"/>
          <w:color w:val="auto"/>
        </w:rPr>
        <w:t>take away, or do business with (or attempt to do any of the foregoing) any customer or client of the Company or any of its affiliates (or any person or entity who, during the twelve (12) months prior to the Termination Date, was engaged in mutual</w:t>
      </w:r>
    </w:p>
    <w:p>
      <w:pPr>
        <w:ind w:left="320"/>
        <w:spacing w:after="0" w:line="223" w:lineRule="auto"/>
        <w:rPr>
          <w:sz w:val="20"/>
          <w:szCs w:val="20"/>
          <w:color w:val="auto"/>
        </w:rPr>
      </w:pPr>
      <w:r>
        <w:rPr>
          <w:rFonts w:ascii="Times New Roman" w:cs="Times New Roman" w:eastAsia="Times New Roman" w:hAnsi="Times New Roman"/>
          <w:sz w:val="19"/>
          <w:szCs w:val="19"/>
          <w:color w:val="auto"/>
        </w:rPr>
        <w:t>contact, discussion or correspondence with the Company in respect of becoming a customer or client of the Company or any</w:t>
      </w:r>
    </w:p>
    <w:p>
      <w:pPr>
        <w:ind w:left="320" w:right="20"/>
        <w:spacing w:after="0" w:line="221" w:lineRule="auto"/>
        <w:rPr>
          <w:sz w:val="20"/>
          <w:szCs w:val="20"/>
          <w:color w:val="auto"/>
        </w:rPr>
      </w:pPr>
      <w:r>
        <w:rPr>
          <w:rFonts w:ascii="Times New Roman" w:cs="Times New Roman" w:eastAsia="Times New Roman" w:hAnsi="Times New Roman"/>
          <w:sz w:val="20"/>
          <w:szCs w:val="20"/>
          <w:color w:val="auto"/>
        </w:rPr>
        <w:t>of its affiliates) with whom the Executive had contact within the twelve (12) months immediately prior to the Termination Date.</w:t>
      </w:r>
    </w:p>
    <w:p>
      <w:pPr>
        <w:spacing w:after="0" w:line="108" w:lineRule="exact"/>
        <w:rPr>
          <w:sz w:val="20"/>
          <w:szCs w:val="20"/>
          <w:color w:val="auto"/>
        </w:rPr>
      </w:pPr>
    </w:p>
    <w:p>
      <w:pPr>
        <w:jc w:val="both"/>
        <w:ind w:left="320" w:hanging="320"/>
        <w:spacing w:after="0" w:line="213" w:lineRule="auto"/>
        <w:tabs>
          <w:tab w:leader="none" w:pos="3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w:t>
      </w:r>
    </w:p>
    <w:p>
      <w:pPr>
        <w:spacing w:after="0" w:line="107" w:lineRule="exact"/>
        <w:rPr>
          <w:rFonts w:ascii="Times New Roman" w:cs="Times New Roman" w:eastAsia="Times New Roman" w:hAnsi="Times New Roman"/>
          <w:sz w:val="20"/>
          <w:szCs w:val="20"/>
          <w:color w:val="auto"/>
        </w:rPr>
      </w:pPr>
    </w:p>
    <w:p>
      <w:pPr>
        <w:jc w:val="both"/>
        <w:ind w:left="320" w:hanging="320"/>
        <w:spacing w:after="0" w:line="208" w:lineRule="auto"/>
        <w:tabs>
          <w:tab w:leader="none" w:pos="30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xml:space="preserve"> During the period commencing on the Commencement Date and ending on the date that is six (6) months after the Termination Date, regardless of the reason for the Executive’s termination of employment and regardless of who initiates such termination (such period, the “Non-Competition Period”),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w:t>
      </w:r>
    </w:p>
    <w:p>
      <w:pPr>
        <w:spacing w:after="0" w:line="6" w:lineRule="exact"/>
        <w:rPr>
          <w:rFonts w:ascii="Times New Roman" w:cs="Times New Roman" w:eastAsia="Times New Roman" w:hAnsi="Times New Roman"/>
          <w:sz w:val="20"/>
          <w:szCs w:val="20"/>
          <w:color w:val="auto"/>
        </w:rPr>
      </w:pPr>
    </w:p>
    <w:p>
      <w:pPr>
        <w:jc w:val="both"/>
        <w:ind w:left="320" w:firstLine="4"/>
        <w:spacing w:after="0" w:line="212" w:lineRule="auto"/>
        <w:tabs>
          <w:tab w:leader="none" w:pos="647"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has taken steps to become, competitive with the current business, activities, 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otherwise approved by the Board at any time prior to the Termination Date (the “Competitive Business”).</w:t>
      </w:r>
    </w:p>
    <w:p>
      <w:pPr>
        <w:spacing w:after="0" w:line="109" w:lineRule="exact"/>
        <w:rPr>
          <w:rFonts w:ascii="Times New Roman" w:cs="Times New Roman" w:eastAsia="Times New Roman" w:hAnsi="Times New Roman"/>
          <w:sz w:val="20"/>
          <w:szCs w:val="20"/>
          <w:color w:val="auto"/>
        </w:rPr>
      </w:pPr>
    </w:p>
    <w:p>
      <w:pPr>
        <w:jc w:val="both"/>
        <w:ind w:left="320" w:hanging="320"/>
        <w:spacing w:after="0" w:line="219" w:lineRule="auto"/>
        <w:tabs>
          <w:tab w:leader="none" w:pos="3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7(d) shall be violated by truthful statements</w:t>
      </w:r>
    </w:p>
    <w:p>
      <w:pPr>
        <w:spacing w:after="0" w:line="2" w:lineRule="exact"/>
        <w:rPr>
          <w:rFonts w:ascii="Times New Roman" w:cs="Times New Roman" w:eastAsia="Times New Roman" w:hAnsi="Times New Roman"/>
          <w:sz w:val="19"/>
          <w:szCs w:val="19"/>
          <w:color w:val="auto"/>
        </w:rPr>
      </w:pPr>
    </w:p>
    <w:p>
      <w:pPr>
        <w:ind w:left="600" w:hanging="276"/>
        <w:spacing w:after="0"/>
        <w:tabs>
          <w:tab w:leader="none" w:pos="6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to any governmental authority,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260"/>
          </w:cols>
          <w:pgMar w:left="1300" w:top="1394" w:right="339" w:bottom="1440" w:gutter="0" w:footer="0" w:header="0"/>
        </w:sectPr>
      </w:pPr>
    </w:p>
    <w:bookmarkStart w:id="116" w:name="page117"/>
    <w:bookmarkEnd w:id="116"/>
    <w:p>
      <w:pPr>
        <w:ind w:left="320"/>
        <w:spacing w:after="0"/>
        <w:rPr>
          <w:sz w:val="20"/>
          <w:szCs w:val="20"/>
          <w:color w:val="auto"/>
        </w:rPr>
      </w:pPr>
      <w:r>
        <w:rPr>
          <w:rFonts w:ascii="Times New Roman" w:cs="Times New Roman" w:eastAsia="Times New Roman" w:hAnsi="Times New Roman"/>
          <w:sz w:val="20"/>
          <w:szCs w:val="20"/>
          <w:color w:val="auto"/>
        </w:rPr>
        <w:t>which are in connection with legal process, required governmental testimony or filings, or administrative or arbitral</w:t>
      </w:r>
    </w:p>
    <w:p>
      <w:pPr>
        <w:ind w:left="320" w:right="20"/>
        <w:spacing w:after="0" w:line="221" w:lineRule="auto"/>
        <w:rPr>
          <w:sz w:val="20"/>
          <w:szCs w:val="20"/>
          <w:color w:val="auto"/>
        </w:rPr>
      </w:pPr>
      <w:r>
        <w:rPr>
          <w:rFonts w:ascii="Times New Roman" w:cs="Times New Roman" w:eastAsia="Times New Roman" w:hAnsi="Times New Roman"/>
          <w:sz w:val="20"/>
          <w:szCs w:val="20"/>
          <w:color w:val="auto"/>
        </w:rPr>
        <w:t>proceedings (including, without limitation, depositions in connection with such proceedings) or (z) made in performance reviews.</w:t>
      </w:r>
    </w:p>
    <w:p>
      <w:pPr>
        <w:spacing w:after="0" w:line="108" w:lineRule="exact"/>
        <w:rPr>
          <w:sz w:val="20"/>
          <w:szCs w:val="20"/>
          <w:color w:val="auto"/>
        </w:rPr>
      </w:pPr>
    </w:p>
    <w:p>
      <w:pPr>
        <w:jc w:val="both"/>
        <w:ind w:left="320" w:hanging="320"/>
        <w:spacing w:after="0" w:line="224" w:lineRule="auto"/>
        <w:tabs>
          <w:tab w:leader="none" w:pos="309"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 Return of Property</w:t>
      </w:r>
      <w:r>
        <w:rPr>
          <w:rFonts w:ascii="Times New Roman" w:cs="Times New Roman" w:eastAsia="Times New Roman" w:hAnsi="Times New Roman"/>
          <w:sz w:val="19"/>
          <w:szCs w:val="19"/>
          <w:color w:val="auto"/>
        </w:rPr>
        <w:t>. During the term hereof and at all times thereafter, the Executive shall not, without the prior express written consent of the Company, directly or indirectly, use on the Executive’s behalf or on behalf of any other person or entity, 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7(e)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(II)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 Agreement. In the event that such protective order or other remedy is not obtained, then the Executive will furnish only that portion of the Confidential Information which is legally required (as may be advised by Executive’s legal counsel), and will cooperate with the Company in the 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“Confidential Information” shall mean all information of a sensitive, confidential or proprietary nature respecting the business and activities of the Company or any of its affiliates, including, without limitation, the terms and provisions of this Agreement (except for the terms and provisions of Section 7), and the clients, customers, suppliers, computer or other files, projects, products, computer disks or other media, computer hardware or computer software programs, marketing plans, financial information, methodologies, Inventions (as defined below), know-how, research, developments, processes, practices, approaches, projections, forecasts, formats, systems, data gathering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260"/>
          </w:cols>
          <w:pgMar w:left="1300" w:top="1394" w:right="339" w:bottom="1440" w:gutter="0" w:footer="0" w:header="0"/>
        </w:sectPr>
      </w:pPr>
    </w:p>
    <w:bookmarkStart w:id="117" w:name="page118"/>
    <w:bookmarkEnd w:id="117"/>
    <w:p>
      <w:pPr>
        <w:ind w:left="320"/>
        <w:spacing w:after="0"/>
        <w:rPr>
          <w:sz w:val="20"/>
          <w:szCs w:val="20"/>
          <w:color w:val="auto"/>
        </w:rPr>
      </w:pPr>
      <w:r>
        <w:rPr>
          <w:rFonts w:ascii="Times New Roman" w:cs="Times New Roman" w:eastAsia="Times New Roman" w:hAnsi="Times New Roman"/>
          <w:sz w:val="20"/>
          <w:szCs w:val="20"/>
          <w:color w:val="auto"/>
        </w:rPr>
        <w:t>methods and/or strategies of the Company or any of its affiliates. Confidential Information also includes all information</w:t>
      </w:r>
    </w:p>
    <w:p>
      <w:pPr>
        <w:ind w:left="320"/>
        <w:spacing w:after="0" w:line="215" w:lineRule="auto"/>
        <w:rPr>
          <w:sz w:val="20"/>
          <w:szCs w:val="20"/>
          <w:color w:val="auto"/>
        </w:rPr>
      </w:pPr>
      <w:r>
        <w:rPr>
          <w:rFonts w:ascii="Times New Roman" w:cs="Times New Roman" w:eastAsia="Times New Roman" w:hAnsi="Times New Roman"/>
          <w:sz w:val="19"/>
          <w:szCs w:val="19"/>
          <w:color w:val="auto"/>
        </w:rPr>
        <w:t>received by the Company or any of its affiliates under an obligation of confidentiality to a third party of which the Executive has knowledge. Notwithstanding the foregoing, Confidential Information shall not include any information that is generally</w:t>
      </w:r>
    </w:p>
    <w:p>
      <w:pPr>
        <w:ind w:left="320"/>
        <w:spacing w:after="0" w:line="228" w:lineRule="auto"/>
        <w:rPr>
          <w:sz w:val="20"/>
          <w:szCs w:val="20"/>
          <w:color w:val="auto"/>
        </w:rPr>
      </w:pPr>
      <w:r>
        <w:rPr>
          <w:rFonts w:ascii="Times New Roman" w:cs="Times New Roman" w:eastAsia="Times New Roman" w:hAnsi="Times New Roman"/>
          <w:sz w:val="20"/>
          <w:szCs w:val="20"/>
          <w:color w:val="auto"/>
        </w:rPr>
        <w:t>available, or is made generally available, to the public other than as a result of a direct or indirect unauthorized disclosure by the Executive or any other person or entity subject to a confidentiality obligation.</w:t>
      </w:r>
    </w:p>
    <w:p>
      <w:pPr>
        <w:spacing w:after="0" w:line="95" w:lineRule="exact"/>
        <w:rPr>
          <w:sz w:val="20"/>
          <w:szCs w:val="20"/>
          <w:color w:val="auto"/>
        </w:rPr>
      </w:pPr>
    </w:p>
    <w:p>
      <w:pPr>
        <w:jc w:val="both"/>
        <w:ind w:left="320" w:hanging="320"/>
        <w:spacing w:after="0" w:line="225" w:lineRule="auto"/>
        <w:tabs>
          <w:tab w:leader="none" w:pos="31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of Inventions</w:t>
      </w:r>
      <w:r>
        <w:rPr>
          <w:rFonts w:ascii="Times New Roman" w:cs="Times New Roman" w:eastAsia="Times New Roman" w:hAnsi="Times New Roman"/>
          <w:sz w:val="19"/>
          <w:szCs w:val="19"/>
          <w:color w:val="auto"/>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“Company IP”).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7(f) shall be paid by the Company or its designee. The Executive shall not, on or after the Commencement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“Company Invention” 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Commencement Date, but not before the commencement of Executive’s employment with the Company or its predecessor),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Commencement Date, but not before the commencement of Executive’s employment with the Company or its predecessor). For purposes of this Agreement, “Invention” shall mean any invention, formula, therapy, diagnostic technique, discovery, improvement, idea, technique, design, method, art, process, methodology, algorithm, machine, development, product, service, technology,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260"/>
          </w:cols>
          <w:pgMar w:left="1300" w:top="1394" w:right="339" w:bottom="1440" w:gutter="0" w:footer="0" w:header="0"/>
        </w:sectPr>
      </w:pPr>
    </w:p>
    <w:bookmarkStart w:id="118" w:name="page119"/>
    <w:bookmarkEnd w:id="118"/>
    <w:p>
      <w:pPr>
        <w:ind w:left="320" w:right="20"/>
        <w:spacing w:after="0"/>
        <w:rPr>
          <w:sz w:val="20"/>
          <w:szCs w:val="20"/>
          <w:color w:val="auto"/>
        </w:rPr>
      </w:pPr>
      <w:r>
        <w:rPr>
          <w:rFonts w:ascii="Times New Roman" w:cs="Times New Roman" w:eastAsia="Times New Roman" w:hAnsi="Times New Roman"/>
          <w:sz w:val="20"/>
          <w:szCs w:val="20"/>
          <w:color w:val="auto"/>
        </w:rPr>
        <w:t>software, work of authorship or other Works (as defined below), trade secret, innovation, trademark, data, database, or the like, whether or not patentable, together with all intellectual property rights therein.</w:t>
      </w:r>
    </w:p>
    <w:p>
      <w:pPr>
        <w:spacing w:after="0" w:line="94" w:lineRule="exact"/>
        <w:rPr>
          <w:sz w:val="20"/>
          <w:szCs w:val="20"/>
          <w:color w:val="auto"/>
        </w:rPr>
      </w:pPr>
    </w:p>
    <w:p>
      <w:pPr>
        <w:jc w:val="both"/>
        <w:ind w:left="320" w:hanging="320"/>
        <w:spacing w:after="0" w:line="210" w:lineRule="auto"/>
        <w:tabs>
          <w:tab w:leader="none" w:pos="3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Works for Hire</w:t>
      </w:r>
      <w:r>
        <w:rPr>
          <w:rFonts w:ascii="Times New Roman" w:cs="Times New Roman" w:eastAsia="Times New Roman" w:hAnsi="Times New Roman"/>
          <w:sz w:val="20"/>
          <w:szCs w:val="20"/>
          <w:color w:val="auto"/>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Commencement Date),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(“Works”),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w:t>
      </w:r>
    </w:p>
    <w:p>
      <w:pPr>
        <w:spacing w:after="0" w:line="114" w:lineRule="exact"/>
        <w:rPr>
          <w:rFonts w:ascii="Times New Roman" w:cs="Times New Roman" w:eastAsia="Times New Roman" w:hAnsi="Times New Roman"/>
          <w:sz w:val="20"/>
          <w:szCs w:val="20"/>
          <w:color w:val="auto"/>
        </w:rPr>
      </w:pPr>
    </w:p>
    <w:p>
      <w:pPr>
        <w:jc w:val="both"/>
        <w:ind w:left="320" w:hanging="320"/>
        <w:spacing w:after="0" w:line="222" w:lineRule="auto"/>
        <w:tabs>
          <w:tab w:leader="none" w:pos="32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During and after the term hereof, the Executive agrees to cooperate with the Company and its affiliates in any internal investigation, any administrative, regulatory, or judicial proceeding or any dispute with a third-party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spacing w:after="0" w:line="112" w:lineRule="exact"/>
        <w:rPr>
          <w:rFonts w:ascii="Times New Roman" w:cs="Times New Roman" w:eastAsia="Times New Roman" w:hAnsi="Times New Roman"/>
          <w:sz w:val="19"/>
          <w:szCs w:val="19"/>
          <w:color w:val="auto"/>
        </w:rPr>
      </w:pPr>
    </w:p>
    <w:p>
      <w:pPr>
        <w:jc w:val="both"/>
        <w:ind w:left="320" w:hanging="320"/>
        <w:spacing w:after="0" w:line="213" w:lineRule="auto"/>
        <w:tabs>
          <w:tab w:leader="none" w:pos="31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Requirement</w:t>
      </w:r>
      <w:r>
        <w:rPr>
          <w:rFonts w:ascii="Times New Roman" w:cs="Times New Roman" w:eastAsia="Times New Roman" w:hAnsi="Times New Roman"/>
          <w:sz w:val="20"/>
          <w:szCs w:val="20"/>
          <w:color w:val="auto"/>
        </w:rPr>
        <w:t>. Until the expiration of the period or periods for Restrictive Covenants (as applicable), the Executive shall, upon a reasonable request by the Company, give notice to the Company of any new business activity 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“Person”)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the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260"/>
          </w:cols>
          <w:pgMar w:left="1300" w:top="1399" w:right="339" w:bottom="1440" w:gutter="0" w:footer="0" w:header="0"/>
        </w:sectPr>
      </w:pPr>
    </w:p>
    <w:bookmarkStart w:id="119" w:name="page120"/>
    <w:bookmarkEnd w:id="119"/>
    <w:p>
      <w:pPr>
        <w:jc w:val="both"/>
        <w:ind w:left="968" w:hanging="320"/>
        <w:spacing w:after="0" w:line="211" w:lineRule="auto"/>
        <w:tabs>
          <w:tab w:leader="none" w:pos="96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agrees that the Company and its affiliates, in addition to any other legal or equitable remedies available to them, shall be entitled to seek preliminary and permanent injunctive relief against any breach or threatened breach by the Executive of any of the Restrictive Covenants, without having to post bond, and to seek specific performance of each of the terms thereof. The Restrictive Covenants are intended for the benefit of the Company and each of its affiliates. Each affiliate of the Company is an intended third-party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w:t>
      </w:r>
    </w:p>
    <w:p>
      <w:pPr>
        <w:spacing w:after="0" w:line="98" w:lineRule="exact"/>
        <w:rPr>
          <w:rFonts w:ascii="Times New Roman" w:cs="Times New Roman" w:eastAsia="Times New Roman" w:hAnsi="Times New Roman"/>
          <w:sz w:val="20"/>
          <w:szCs w:val="20"/>
          <w:color w:val="auto"/>
        </w:rPr>
      </w:pPr>
    </w:p>
    <w:p>
      <w:pPr>
        <w:jc w:val="both"/>
        <w:ind w:left="968" w:hanging="320"/>
        <w:spacing w:after="0" w:line="230" w:lineRule="auto"/>
        <w:tabs>
          <w:tab w:leader="none" w:pos="96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New Employer</w:t>
      </w:r>
      <w:r>
        <w:rPr>
          <w:rFonts w:ascii="Times New Roman" w:cs="Times New Roman" w:eastAsia="Times New Roman" w:hAnsi="Times New Roman"/>
          <w:sz w:val="20"/>
          <w:szCs w:val="20"/>
          <w:color w:val="auto"/>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p>
    <w:p>
      <w:pPr>
        <w:spacing w:after="0" w:line="94" w:lineRule="exact"/>
        <w:rPr>
          <w:rFonts w:ascii="Times New Roman" w:cs="Times New Roman" w:eastAsia="Times New Roman" w:hAnsi="Times New Roman"/>
          <w:sz w:val="20"/>
          <w:szCs w:val="20"/>
          <w:color w:val="auto"/>
        </w:rPr>
      </w:pPr>
    </w:p>
    <w:p>
      <w:pPr>
        <w:ind w:left="488" w:hanging="488"/>
        <w:spacing w:after="0"/>
        <w:tabs>
          <w:tab w:leader="none" w:pos="48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w:t>
      </w:r>
    </w:p>
    <w:p>
      <w:pPr>
        <w:spacing w:after="0" w:line="134" w:lineRule="exact"/>
        <w:rPr>
          <w:rFonts w:ascii="Times New Roman" w:cs="Times New Roman" w:eastAsia="Times New Roman" w:hAnsi="Times New Roman"/>
          <w:sz w:val="20"/>
          <w:szCs w:val="20"/>
          <w:color w:val="auto"/>
        </w:rPr>
      </w:pPr>
    </w:p>
    <w:p>
      <w:pPr>
        <w:jc w:val="both"/>
        <w:ind w:left="8" w:firstLine="640"/>
        <w:spacing w:after="0" w:line="211" w:lineRule="auto"/>
        <w:tabs>
          <w:tab w:leader="none" w:pos="96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98" w:lineRule="exact"/>
        <w:rPr>
          <w:rFonts w:ascii="Times New Roman" w:cs="Times New Roman" w:eastAsia="Times New Roman" w:hAnsi="Times New Roman"/>
          <w:sz w:val="20"/>
          <w:szCs w:val="20"/>
          <w:color w:val="auto"/>
        </w:rPr>
      </w:pPr>
    </w:p>
    <w:p>
      <w:pPr>
        <w:jc w:val="both"/>
        <w:ind w:left="8" w:firstLine="640"/>
        <w:spacing w:after="0" w:line="212" w:lineRule="auto"/>
        <w:tabs>
          <w:tab w:leader="none" w:pos="9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and shall have the opportunity to reject the selection, within two business days of being notified of the selection, on the basis of that Determining Party’s having a conflict of 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 “Determination”), together with detailed supporting calculations and documentation to the Company and Executive, within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908"/>
          </w:cols>
          <w:pgMar w:left="652" w:top="1399" w:right="339" w:bottom="1440" w:gutter="0" w:footer="0" w:header="0"/>
        </w:sectPr>
      </w:pPr>
    </w:p>
    <w:bookmarkStart w:id="120" w:name="page121"/>
    <w:bookmarkEnd w:id="120"/>
    <w:p>
      <w:pPr>
        <w:ind w:left="340"/>
        <w:spacing w:after="0"/>
        <w:rPr>
          <w:sz w:val="20"/>
          <w:szCs w:val="20"/>
          <w:color w:val="auto"/>
        </w:rPr>
      </w:pPr>
      <w:r>
        <w:rPr>
          <w:rFonts w:ascii="Times New Roman" w:cs="Times New Roman" w:eastAsia="Times New Roman" w:hAnsi="Times New Roman"/>
          <w:sz w:val="19"/>
          <w:szCs w:val="19"/>
          <w:color w:val="auto"/>
        </w:rPr>
        <w:t>Executive that no Excise Tax will be imposed with respect to any such payments and, absent manifest error, such Determination shall be</w:t>
      </w:r>
    </w:p>
    <w:p>
      <w:pPr>
        <w:spacing w:after="0" w:line="6" w:lineRule="exact"/>
        <w:rPr>
          <w:sz w:val="20"/>
          <w:szCs w:val="20"/>
          <w:color w:val="auto"/>
        </w:rPr>
      </w:pPr>
    </w:p>
    <w:p>
      <w:pPr>
        <w:jc w:val="both"/>
        <w:ind w:left="340"/>
        <w:spacing w:after="0" w:line="204" w:lineRule="auto"/>
        <w:rPr>
          <w:sz w:val="20"/>
          <w:szCs w:val="20"/>
          <w:color w:val="auto"/>
        </w:rPr>
      </w:pPr>
      <w:r>
        <w:rPr>
          <w:rFonts w:ascii="Times New Roman" w:cs="Times New Roman" w:eastAsia="Times New Roman" w:hAnsi="Times New Roman"/>
          <w:sz w:val="20"/>
          <w:szCs w:val="20"/>
          <w:color w:val="auto"/>
        </w:rPr>
        <w:t>binding, final and conclusive upon the Company and Executive. If the Determining Party determines that an Excise Tax would be payable, the Company shall have the right to accept the Determination as to the extent of the reduction, if any, pursuant to Section 8(a),</w:t>
      </w:r>
    </w:p>
    <w:p>
      <w:pPr>
        <w:ind w:left="340"/>
        <w:spacing w:after="0" w:line="211" w:lineRule="auto"/>
        <w:rPr>
          <w:sz w:val="20"/>
          <w:szCs w:val="20"/>
          <w:color w:val="auto"/>
        </w:rPr>
      </w:pPr>
      <w:r>
        <w:rPr>
          <w:rFonts w:ascii="Times New Roman" w:cs="Times New Roman" w:eastAsia="Times New Roman" w:hAnsi="Times New Roman"/>
          <w:sz w:val="20"/>
          <w:szCs w:val="20"/>
          <w:color w:val="auto"/>
        </w:rPr>
        <w:t>or to have such Determination reviewed by another accounting firm selected by the Company, at the Company’s expense. If the two</w:t>
      </w:r>
    </w:p>
    <w:p>
      <w:pPr>
        <w:spacing w:after="0" w:line="1" w:lineRule="exact"/>
        <w:rPr>
          <w:sz w:val="20"/>
          <w:szCs w:val="20"/>
          <w:color w:val="auto"/>
        </w:rPr>
      </w:pPr>
    </w:p>
    <w:p>
      <w:pPr>
        <w:ind w:left="340"/>
        <w:spacing w:after="0" w:line="221" w:lineRule="auto"/>
        <w:rPr>
          <w:sz w:val="20"/>
          <w:szCs w:val="20"/>
          <w:color w:val="auto"/>
        </w:rPr>
      </w:pPr>
      <w:r>
        <w:rPr>
          <w:rFonts w:ascii="Times New Roman" w:cs="Times New Roman" w:eastAsia="Times New Roman" w:hAnsi="Times New Roman"/>
          <w:sz w:val="20"/>
          <w:szCs w:val="20"/>
          <w:color w:val="auto"/>
        </w:rPr>
        <w:t>accounting firms do not agree, a third accounting firm shall be jointly chosen by Executive and the Company, in which case the determination of such third accounting firm shall be binding, final and conclusive upon the Company and Executive.</w:t>
      </w:r>
    </w:p>
    <w:p>
      <w:pPr>
        <w:spacing w:after="0" w:line="108" w:lineRule="exact"/>
        <w:rPr>
          <w:sz w:val="20"/>
          <w:szCs w:val="20"/>
          <w:color w:val="auto"/>
        </w:rPr>
      </w:pPr>
    </w:p>
    <w:p>
      <w:pPr>
        <w:jc w:val="both"/>
        <w:ind w:left="340" w:firstLine="640"/>
        <w:spacing w:after="0" w:line="213" w:lineRule="auto"/>
        <w:tabs>
          <w:tab w:leader="none" w:pos="130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notwithstanding any reduction described in this Section 8,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 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spacing w:after="0" w:line="107" w:lineRule="exact"/>
        <w:rPr>
          <w:rFonts w:ascii="Times New Roman" w:cs="Times New Roman" w:eastAsia="Times New Roman" w:hAnsi="Times New Roman"/>
          <w:sz w:val="20"/>
          <w:szCs w:val="20"/>
          <w:color w:val="auto"/>
        </w:rPr>
      </w:pPr>
    </w:p>
    <w:p>
      <w:pPr>
        <w:jc w:val="both"/>
        <w:ind w:left="340" w:firstLine="640"/>
        <w:spacing w:after="0" w:line="216" w:lineRule="auto"/>
        <w:tabs>
          <w:tab w:leader="none" w:pos="131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8, if (i) there is a reduction in the Total Payments as described in this Section 8,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08" w:lineRule="exact"/>
        <w:rPr>
          <w:rFonts w:ascii="Times New Roman" w:cs="Times New Roman" w:eastAsia="Times New Roman" w:hAnsi="Times New Roman"/>
          <w:sz w:val="20"/>
          <w:szCs w:val="20"/>
          <w:color w:val="auto"/>
        </w:rPr>
      </w:pPr>
    </w:p>
    <w:p>
      <w:pPr>
        <w:jc w:val="both"/>
        <w:ind w:left="340" w:firstLine="640"/>
        <w:spacing w:after="0" w:line="221" w:lineRule="auto"/>
        <w:tabs>
          <w:tab w:leader="none" w:pos="1301"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following a reduction of the Total Payments pursuant to Section 8(a), the Determining Party or a court of competent jurisdiction determines that the Total Payments were reduced to a greater extent than required under Section 8,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w:t>
      </w: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(2)(A) of the Code), from the date the amount would have otherwise been paid to Executive until the payment date.</w:t>
      </w:r>
    </w:p>
    <w:p>
      <w:pPr>
        <w:spacing w:after="0" w:line="112" w:lineRule="exact"/>
        <w:rPr>
          <w:rFonts w:ascii="Times New Roman" w:cs="Times New Roman" w:eastAsia="Times New Roman" w:hAnsi="Times New Roman"/>
          <w:sz w:val="19"/>
          <w:szCs w:val="19"/>
          <w:color w:val="auto"/>
        </w:rPr>
      </w:pPr>
    </w:p>
    <w:p>
      <w:pPr>
        <w:jc w:val="both"/>
        <w:ind w:left="340" w:firstLine="640"/>
        <w:spacing w:after="0" w:line="215" w:lineRule="auto"/>
        <w:tabs>
          <w:tab w:leader="none" w:pos="130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Q&amp;A- 44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93"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Agreements</w:t>
      </w:r>
      <w:r>
        <w:rPr>
          <w:rFonts w:ascii="Times New Roman" w:cs="Times New Roman" w:eastAsia="Times New Roman" w:hAnsi="Times New Roman"/>
          <w:sz w:val="20"/>
          <w:szCs w:val="20"/>
          <w:color w:val="auto"/>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9" w:right="339" w:bottom="1440" w:gutter="0" w:footer="0" w:header="0"/>
        </w:sectPr>
      </w:pPr>
    </w:p>
    <w:bookmarkStart w:id="121" w:name="page122"/>
    <w:bookmarkEnd w:id="121"/>
    <w:p>
      <w:pPr>
        <w:jc w:val="both"/>
        <w:ind w:firstLine="656"/>
        <w:spacing w:after="0" w:line="216" w:lineRule="auto"/>
        <w:tabs>
          <w:tab w:leader="none" w:pos="128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his employment or other service with the Company or any of its affiliates (or the termination thereof).</w:t>
      </w:r>
    </w:p>
    <w:p>
      <w:pPr>
        <w:spacing w:after="0" w:line="108" w:lineRule="exact"/>
        <w:rPr>
          <w:rFonts w:ascii="Times New Roman" w:cs="Times New Roman" w:eastAsia="Times New Roman" w:hAnsi="Times New Roman"/>
          <w:sz w:val="20"/>
          <w:szCs w:val="20"/>
          <w:color w:val="auto"/>
        </w:rPr>
      </w:pPr>
    </w:p>
    <w:p>
      <w:pPr>
        <w:ind w:firstLine="656"/>
        <w:spacing w:after="0"/>
        <w:tabs>
          <w:tab w:leader="none" w:pos="127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reduced by any tax or other amounts required to be withheld by the Company under applicable law.</w:t>
      </w:r>
    </w:p>
    <w:p>
      <w:pPr>
        <w:spacing w:after="0" w:line="93"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spacing w:after="0" w:line="9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0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7"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10" w:lineRule="exact"/>
        <w:rPr>
          <w:rFonts w:ascii="Times New Roman" w:cs="Times New Roman" w:eastAsia="Times New Roman" w:hAnsi="Times New Roman"/>
          <w:sz w:val="19"/>
          <w:szCs w:val="19"/>
          <w:color w:val="auto"/>
        </w:rPr>
      </w:pPr>
    </w:p>
    <w:p>
      <w:pPr>
        <w:jc w:val="both"/>
        <w:ind w:firstLine="656"/>
        <w:spacing w:after="0" w:line="226" w:lineRule="auto"/>
        <w:tabs>
          <w:tab w:leader="none" w:pos="128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spacing w:after="0" w:line="10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Executive, at his last known address on the books of the Company, with a copy to ; and</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its principal place of business, attention, Secretary, with a copy to legal@awholdings.com; or</w:t>
      </w:r>
    </w:p>
    <w:p>
      <w:pPr>
        <w:spacing w:after="0" w:line="13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such other address as either party may specify by notice to the other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9" w:right="339" w:bottom="1440" w:gutter="0" w:footer="0" w:header="0"/>
        </w:sectPr>
      </w:pPr>
    </w:p>
    <w:bookmarkStart w:id="122" w:name="page123"/>
    <w:bookmarkEnd w:id="122"/>
    <w:p>
      <w:pPr>
        <w:jc w:val="both"/>
        <w:ind w:firstLine="656"/>
        <w:spacing w:after="0" w:line="226" w:lineRule="auto"/>
        <w:tabs>
          <w:tab w:leader="none" w:pos="128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w:t>
      </w:r>
    </w:p>
    <w:p>
      <w:pPr>
        <w:spacing w:after="0" w:line="106" w:lineRule="exact"/>
        <w:rPr>
          <w:rFonts w:ascii="Times New Roman" w:cs="Times New Roman" w:eastAsia="Times New Roman" w:hAnsi="Times New Roman"/>
          <w:sz w:val="20"/>
          <w:szCs w:val="20"/>
          <w:color w:val="auto"/>
        </w:rPr>
      </w:pPr>
    </w:p>
    <w:p>
      <w:pPr>
        <w:ind w:firstLine="656"/>
        <w:spacing w:after="0"/>
        <w:tabs>
          <w:tab w:leader="none" w:pos="128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and captions in this Agreement are for convenience only and in no way define or describe the scope or content of any provision of this Agreement.</w:t>
      </w:r>
    </w:p>
    <w:p>
      <w:pPr>
        <w:spacing w:after="0" w:line="93"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w:t>
      </w:r>
    </w:p>
    <w:p>
      <w:pPr>
        <w:spacing w:after="0" w:line="107"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WAIVER OF JURY TRIAL</w:t>
      </w:r>
      <w:r>
        <w:rPr>
          <w:rFonts w:ascii="Times New Roman" w:cs="Times New Roman" w:eastAsia="Times New Roman" w:hAnsi="Times New Roman"/>
          <w:sz w:val="20"/>
          <w:szCs w:val="20"/>
          <w:color w:val="auto"/>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w:t>
      </w:r>
    </w:p>
    <w:p>
      <w:pPr>
        <w:spacing w:after="0" w:line="113" w:lineRule="exact"/>
        <w:rPr>
          <w:rFonts w:ascii="Times New Roman" w:cs="Times New Roman" w:eastAsia="Times New Roman" w:hAnsi="Times New Roman"/>
          <w:sz w:val="20"/>
          <w:szCs w:val="20"/>
          <w:color w:val="auto"/>
        </w:rPr>
      </w:pPr>
    </w:p>
    <w:p>
      <w:pPr>
        <w:jc w:val="both"/>
        <w:ind w:firstLine="656"/>
        <w:spacing w:after="0" w:line="233" w:lineRule="auto"/>
        <w:tabs>
          <w:tab w:leader="none" w:pos="1287"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 Section 409A Compliance</w:t>
      </w:r>
      <w:r>
        <w:rPr>
          <w:rFonts w:ascii="Times New Roman" w:cs="Times New Roman" w:eastAsia="Times New Roman" w:hAnsi="Times New Roman"/>
          <w:sz w:val="19"/>
          <w:szCs w:val="19"/>
          <w:color w:val="auto"/>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10th 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9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color w:val="auto"/>
        </w:rPr>
        <w:t>following the calendar year in which such expenses were incurred. Notwithstanding anything herein to the contrary, neither the Company nor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of its affiliates shall have any liability to the Executive or to any other person or entity if this Agreement is, or if the payments and benefits provided in this Agreement that are intended to be exempt from or compliant with Code Section 409A are, not so exempt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compliant. Each payment payable hereunder shall be treated as a separate payment in a series of payments within the meaning of, and for purposes of,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99" w:right="339" w:bottom="1440" w:gutter="0" w:footer="0" w:header="0"/>
        </w:sectPr>
      </w:pPr>
    </w:p>
    <w:bookmarkStart w:id="124" w:name="page125"/>
    <w:bookmarkEnd w:id="124"/>
    <w:p>
      <w:pPr>
        <w:ind w:right="60"/>
        <w:spacing w:after="0"/>
        <w:rPr>
          <w:sz w:val="20"/>
          <w:szCs w:val="20"/>
          <w:color w:val="auto"/>
        </w:rPr>
      </w:pPr>
      <w:r>
        <w:rPr>
          <w:rFonts w:ascii="Times New Roman" w:cs="Times New Roman" w:eastAsia="Times New Roman" w:hAnsi="Times New Roman"/>
          <w:sz w:val="20"/>
          <w:szCs w:val="20"/>
          <w:color w:val="auto"/>
        </w:rPr>
        <w:t>IN WITNESS WHEREOF, this Agreement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EXECUTIVE</w:t>
            </w:r>
          </w:p>
        </w:tc>
        <w:tc>
          <w:tcPr>
            <w:tcW w:w="6840" w:type="dxa"/>
            <w:vAlign w:val="bottom"/>
            <w:gridSpan w:val="2"/>
          </w:tcPr>
          <w:p>
            <w:pPr>
              <w:ind w:left="1260"/>
              <w:spacing w:after="0"/>
              <w:rPr>
                <w:sz w:val="20"/>
                <w:szCs w:val="20"/>
                <w:color w:val="auto"/>
              </w:rPr>
            </w:pPr>
            <w:r>
              <w:rPr>
                <w:rFonts w:ascii="Times New Roman" w:cs="Times New Roman" w:eastAsia="Times New Roman" w:hAnsi="Times New Roman"/>
                <w:sz w:val="20"/>
                <w:szCs w:val="20"/>
                <w:color w:val="auto"/>
              </w:rPr>
              <w:t>ASCEND WELLNESS HOLDINGS, INC.</w:t>
            </w:r>
          </w:p>
        </w:tc>
      </w:tr>
      <w:tr>
        <w:trPr>
          <w:trHeight w:val="52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Roman O. Nemchenko</w:t>
            </w:r>
          </w:p>
        </w:tc>
        <w:tc>
          <w:tcPr>
            <w:tcW w:w="214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Samuel Brill</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Roman O. Nemchenko</w:t>
            </w:r>
          </w:p>
        </w:tc>
        <w:tc>
          <w:tcPr>
            <w:tcW w:w="214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Name:</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Samuel Brill</w:t>
            </w:r>
          </w:p>
        </w:tc>
      </w:tr>
      <w:tr>
        <w:trPr>
          <w:trHeight w:val="258"/>
        </w:trPr>
        <w:tc>
          <w:tcPr>
            <w:tcW w:w="7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14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Title:</w:t>
            </w:r>
          </w:p>
        </w:tc>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1399" w:right="4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9019"/>
          </w:cols>
          <w:pgMar w:left="1440" w:top="13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9019"/>
          </w:cols>
          <w:pgMar w:left="1440" w:top="1399" w:right="1440"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Brill, certify that:</w:t>
      </w:r>
    </w:p>
    <w:p>
      <w:pPr>
        <w:spacing w:after="0" w:line="117"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220" w:type="dxa"/>
            <w:vAlign w:val="bottom"/>
          </w:tcPr>
          <w:p>
            <w:pPr>
              <w:spacing w:after="0"/>
              <w:rPr>
                <w:sz w:val="15"/>
                <w:szCs w:val="15"/>
                <w:color w:val="auto"/>
              </w:rPr>
            </w:pPr>
          </w:p>
        </w:tc>
        <w:tc>
          <w:tcPr>
            <w:tcW w:w="4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Nemchenko, certify that:</w:t>
      </w:r>
    </w:p>
    <w:p>
      <w:pPr>
        <w:spacing w:after="0" w:line="117" w:lineRule="exact"/>
        <w:rPr>
          <w:sz w:val="20"/>
          <w:szCs w:val="20"/>
          <w:color w:val="auto"/>
        </w:rPr>
      </w:pPr>
    </w:p>
    <w:p>
      <w:pPr>
        <w:ind w:left="320" w:hanging="312"/>
        <w:spacing w:after="0"/>
        <w:tabs>
          <w:tab w:leader="none" w:pos="3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220" w:type="dxa"/>
            <w:vAlign w:val="bottom"/>
          </w:tcPr>
          <w:p>
            <w:pPr>
              <w:spacing w:after="0"/>
              <w:rPr>
                <w:sz w:val="15"/>
                <w:szCs w:val="15"/>
                <w:color w:val="auto"/>
              </w:rPr>
            </w:pPr>
          </w:p>
        </w:tc>
        <w:tc>
          <w:tcPr>
            <w:tcW w:w="40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Ascend Wellness Holdings, Inc. (the “Company”) for the quarter ended September 30, 2024,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20" w:hanging="388"/>
        <w:spacing w:after="0"/>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2"/>
    </w:lvl>
  </w:abstractNum>
  <w:abstractNum w:abstractNumId="4">
    <w:nsid w:val="12E685FB"/>
    <w:multiLevelType w:val="hybridMultilevel"/>
    <w:lvl w:ilvl="0">
      <w:lvlJc w:val="left"/>
      <w:lvlText w:val="%1."/>
      <w:numFmt w:val="decimal"/>
      <w:start w:val="4"/>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2"/>
    </w:lvl>
  </w:abstractNum>
  <w:abstractNum w:abstractNumId="11">
    <w:nsid w:val="275AC794"/>
    <w:multiLevelType w:val="hybridMultilevel"/>
    <w:lvl w:ilvl="0">
      <w:lvlJc w:val="left"/>
      <w:lvlText w:val="(%1)"/>
      <w:numFmt w:val="decimal"/>
      <w:start w:val="4"/>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13"/>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5"/>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lowerLetter"/>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1."/>
      <w:numFmt w:val="decimal"/>
      <w:start w:val="1"/>
    </w:lvl>
    <w:lvl w:ilvl="1">
      <w:lvlJc w:val="left"/>
      <w:lvlText w:val="%2."/>
      <w:numFmt w:val="lowerLetter"/>
      <w:start w:val="1"/>
    </w:lvl>
  </w:abstractNum>
  <w:abstractNum w:abstractNumId="32">
    <w:nsid w:val="4AD084E9"/>
    <w:multiLevelType w:val="hybridMultilevel"/>
    <w:lvl w:ilvl="0">
      <w:lvlJc w:val="left"/>
      <w:lvlText w:val="%1."/>
      <w:numFmt w:val="decimal"/>
      <w:start w:val="4"/>
    </w:lvl>
    <w:lvl w:ilvl="1">
      <w:lvlJc w:val="left"/>
      <w:lvlText w:val="%2."/>
      <w:numFmt w:val="lowerLetter"/>
      <w:start w:val="1"/>
    </w:lvl>
  </w:abstractNum>
  <w:abstractNum w:abstractNumId="33">
    <w:nsid w:val="1F48EAA1"/>
    <w:multiLevelType w:val="hybridMultilevel"/>
    <w:lvl w:ilvl="0">
      <w:lvlJc w:val="left"/>
      <w:lvlText w:val="%1."/>
      <w:numFmt w:val="lowerLetter"/>
      <w:start w:val="4"/>
    </w:lvl>
  </w:abstractNum>
  <w:abstractNum w:abstractNumId="34">
    <w:nsid w:val="1381823A"/>
    <w:multiLevelType w:val="hybridMultilevel"/>
    <w:lvl w:ilvl="0">
      <w:lvlJc w:val="left"/>
      <w:lvlText w:val="%1."/>
      <w:numFmt w:val="decimal"/>
      <w:start w:val="5"/>
    </w:lvl>
    <w:lvl w:ilvl="1">
      <w:lvlJc w:val="left"/>
      <w:lvlText w:val="%2."/>
      <w:numFmt w:val="lowerLetter"/>
      <w:start w:val="1"/>
    </w:lvl>
  </w:abstractNum>
  <w:abstractNum w:abstractNumId="35">
    <w:nsid w:val="5DB70AE5"/>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36">
    <w:nsid w:val="100F8FCA"/>
    <w:multiLevelType w:val="hybridMultilevel"/>
    <w:lvl w:ilvl="0">
      <w:lvlJc w:val="left"/>
      <w:lvlText w:val="%1"/>
      <w:numFmt w:val="lowerRoman"/>
      <w:start w:val="1"/>
    </w:lvl>
    <w:lvl w:ilvl="1">
      <w:lvlJc w:val="left"/>
      <w:lvlText w:val="%2."/>
      <w:numFmt w:val="lowerRoman"/>
      <w:start w:val="1"/>
    </w:lvl>
  </w:abstractNum>
  <w:abstractNum w:abstractNumId="37">
    <w:nsid w:val="6590700B"/>
    <w:multiLevelType w:val="hybridMultilevel"/>
    <w:lvl w:ilvl="0">
      <w:lvlJc w:val="left"/>
      <w:lvlText w:val="%1."/>
      <w:numFmt w:val="lowerRoman"/>
      <w:start w:val="4"/>
    </w:lvl>
    <w:lvl w:ilvl="1">
      <w:lvlJc w:val="left"/>
      <w:lvlText w:val="%2."/>
      <w:numFmt w:val="lowerRoman"/>
      <w:start w:val="6"/>
    </w:lvl>
  </w:abstractNum>
  <w:abstractNum w:abstractNumId="38">
    <w:nsid w:val="15014ACB"/>
    <w:multiLevelType w:val="hybridMultilevel"/>
    <w:lvl w:ilvl="0">
      <w:lvlJc w:val="left"/>
      <w:lvlText w:val="%1."/>
      <w:numFmt w:val="lowerLetter"/>
      <w:start w:val="4"/>
    </w:lvl>
  </w:abstractNum>
  <w:abstractNum w:abstractNumId="39">
    <w:nsid w:val="5F5E7FD0"/>
    <w:multiLevelType w:val="hybridMultilevel"/>
    <w:lvl w:ilvl="0">
      <w:lvlJc w:val="left"/>
      <w:lvlText w:val="%1"/>
      <w:numFmt w:val="decimal"/>
      <w:start w:val="1"/>
    </w:lvl>
    <w:lvl w:ilvl="1">
      <w:lvlJc w:val="left"/>
      <w:lvlText w:val="%2."/>
      <w:numFmt w:val="lowerLetter"/>
      <w:start w:val="5"/>
    </w:lvl>
  </w:abstractNum>
  <w:abstractNum w:abstractNumId="40">
    <w:nsid w:val="98A3148"/>
    <w:multiLevelType w:val="hybridMultilevel"/>
    <w:lvl w:ilvl="0">
      <w:lvlJc w:val="left"/>
      <w:lvlText w:val="%1."/>
      <w:numFmt w:val="decimal"/>
      <w:start w:val="6"/>
    </w:lvl>
    <w:lvl w:ilvl="1">
      <w:lvlJc w:val="left"/>
      <w:lvlText w:val="%2."/>
      <w:numFmt w:val="lowerLetter"/>
      <w:start w:val="1"/>
    </w:lvl>
  </w:abstractNum>
  <w:abstractNum w:abstractNumId="41">
    <w:nsid w:val="799D0247"/>
    <w:multiLevelType w:val="hybridMultilevel"/>
    <w:lvl w:ilvl="0">
      <w:lvlJc w:val="left"/>
      <w:lvlText w:val="%1"/>
      <w:numFmt w:val="decimal"/>
      <w:start w:val="1"/>
    </w:lvl>
    <w:lvl w:ilvl="1">
      <w:lvlJc w:val="left"/>
      <w:lvlText w:val="%2."/>
      <w:numFmt w:val="lowerLetter"/>
      <w:start w:val="2"/>
    </w:lvl>
  </w:abstractNum>
  <w:abstractNum w:abstractNumId="42">
    <w:nsid w:val="6B94764"/>
    <w:multiLevelType w:val="hybridMultilevel"/>
    <w:lvl w:ilvl="0">
      <w:lvlJc w:val="left"/>
      <w:lvlText w:val="%1."/>
      <w:numFmt w:val="decimal"/>
      <w:start w:val="7"/>
    </w:lvl>
    <w:lvl w:ilvl="1">
      <w:lvlJc w:val="left"/>
      <w:lvlText w:val="%2."/>
      <w:numFmt w:val="lowerLetter"/>
      <w:start w:val="1"/>
    </w:lvl>
  </w:abstractNum>
  <w:abstractNum w:abstractNumId="43">
    <w:nsid w:val="42C296BD"/>
    <w:multiLevelType w:val="hybridMultilevel"/>
    <w:lvl w:ilvl="0">
      <w:lvlJc w:val="left"/>
      <w:lvlText w:val="%1."/>
      <w:numFmt w:val="lowerLetter"/>
      <w:start w:val="2"/>
    </w:lvl>
  </w:abstractNum>
  <w:abstractNum w:abstractNumId="44">
    <w:nsid w:val="168E121F"/>
    <w:multiLevelType w:val="hybridMultilevel"/>
    <w:lvl w:ilvl="0">
      <w:lvlJc w:val="left"/>
      <w:lvlText w:val="%1."/>
      <w:numFmt w:val="lowerLetter"/>
      <w:start w:val="5"/>
    </w:lvl>
    <w:lvl w:ilvl="1">
      <w:lvlJc w:val="left"/>
      <w:lvlText w:val="(%2)"/>
      <w:numFmt w:val="upperLetter"/>
      <w:start w:val="1"/>
    </w:lvl>
  </w:abstractNum>
  <w:abstractNum w:abstractNumId="45">
    <w:nsid w:val="1EBA5D23"/>
    <w:multiLevelType w:val="hybridMultilevel"/>
    <w:lvl w:ilvl="0">
      <w:lvlJc w:val="left"/>
      <w:lvlText w:val="%1."/>
      <w:numFmt w:val="lowerLetter"/>
      <w:start w:val="6"/>
    </w:lvl>
  </w:abstractNum>
  <w:abstractNum w:abstractNumId="46">
    <w:nsid w:val="661E3F1E"/>
    <w:multiLevelType w:val="hybridMultilevel"/>
    <w:lvl w:ilvl="0">
      <w:lvlJc w:val="left"/>
      <w:lvlText w:val="%1."/>
      <w:numFmt w:val="lowerLetter"/>
      <w:start w:val="7"/>
    </w:lvl>
  </w:abstractNum>
  <w:abstractNum w:abstractNumId="47">
    <w:nsid w:val="5DC79EA8"/>
    <w:multiLevelType w:val="hybridMultilevel"/>
    <w:lvl w:ilvl="0">
      <w:lvlJc w:val="left"/>
      <w:lvlText w:val="%1"/>
      <w:numFmt w:val="decimal"/>
      <w:start w:val="1"/>
    </w:lvl>
    <w:lvl w:ilvl="1">
      <w:lvlJc w:val="left"/>
      <w:lvlText w:val="%2."/>
      <w:numFmt w:val="lowerLetter"/>
      <w:start w:val="10"/>
    </w:lvl>
  </w:abstractNum>
  <w:abstractNum w:abstractNumId="48">
    <w:nsid w:val="540A471C"/>
    <w:multiLevelType w:val="hybridMultilevel"/>
    <w:lvl w:ilvl="0">
      <w:lvlJc w:val="left"/>
      <w:lvlText w:val="%1."/>
      <w:numFmt w:val="decimal"/>
      <w:start w:val="8"/>
    </w:lvl>
    <w:lvl w:ilvl="1">
      <w:lvlJc w:val="left"/>
      <w:lvlText w:val="%2."/>
      <w:numFmt w:val="lowerLetter"/>
      <w:start w:val="1"/>
    </w:lvl>
  </w:abstractNum>
  <w:abstractNum w:abstractNumId="49">
    <w:nsid w:val="7BD3EE7B"/>
    <w:multiLevelType w:val="hybridMultilevel"/>
    <w:lvl w:ilvl="0">
      <w:lvlJc w:val="left"/>
      <w:lvlText w:val="%1."/>
      <w:numFmt w:val="lowerLetter"/>
      <w:start w:val="3"/>
    </w:lvl>
  </w:abstractNum>
  <w:abstractNum w:abstractNumId="50">
    <w:nsid w:val="51D9C564"/>
    <w:multiLevelType w:val="hybridMultilevel"/>
    <w:lvl w:ilvl="0">
      <w:lvlJc w:val="left"/>
      <w:lvlText w:val="%1"/>
      <w:numFmt w:val="decimal"/>
      <w:start w:val="1"/>
    </w:lvl>
    <w:lvl w:ilvl="1">
      <w:lvlJc w:val="left"/>
      <w:lvlText w:val="%2."/>
      <w:numFmt w:val="lowerLetter"/>
      <w:start w:val="6"/>
    </w:lvl>
  </w:abstractNum>
  <w:abstractNum w:abstractNumId="51">
    <w:nsid w:val="613EFDC5"/>
    <w:multiLevelType w:val="hybridMultilevel"/>
    <w:lvl w:ilvl="0">
      <w:lvlJc w:val="left"/>
      <w:lvlText w:val="%1."/>
      <w:numFmt w:val="decimal"/>
      <w:start w:val="9"/>
    </w:lvl>
    <w:lvl w:ilvl="1">
      <w:lvlJc w:val="left"/>
      <w:lvlText w:val="%2"/>
      <w:numFmt w:val="lowerLetter"/>
      <w:start w:val="1"/>
    </w:lvl>
  </w:abstractNum>
  <w:abstractNum w:abstractNumId="52">
    <w:nsid w:val="BF72B14"/>
    <w:multiLevelType w:val="hybridMultilevel"/>
    <w:lvl w:ilvl="0">
      <w:lvlJc w:val="left"/>
      <w:lvlText w:val="%1."/>
      <w:numFmt w:val="decimal"/>
      <w:start w:val="15"/>
    </w:lvl>
    <w:lvl w:ilvl="1">
      <w:lvlJc w:val="left"/>
      <w:lvlText w:val="%2."/>
      <w:numFmt w:val="lowerLetter"/>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1"/>
    </w:lvl>
    <w:lvl w:ilvl="1">
      <w:lvlJc w:val="left"/>
      <w:lvlText w:val="%2."/>
      <w:numFmt w:val="lowerLetter"/>
      <w:start w:val="1"/>
    </w:lvl>
  </w:abstractNum>
  <w:abstractNum w:abstractNumId="55">
    <w:nsid w:val="A0382C5"/>
    <w:multiLevelType w:val="hybridMultilevel"/>
    <w:lvl w:ilvl="0">
      <w:lvlJc w:val="left"/>
      <w:lvlText w:val="%1."/>
      <w:numFmt w:val="decimal"/>
      <w:start w:val="4"/>
    </w:lvl>
    <w:lvl w:ilvl="1">
      <w:lvlJc w:val="left"/>
      <w:lvlText w:val="%2."/>
      <w:numFmt w:val="lowerLetter"/>
      <w:start w:val="1"/>
    </w:lvl>
  </w:abstractNum>
  <w:abstractNum w:abstractNumId="56">
    <w:nsid w:val="8F2B1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1A32234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58">
    <w:nsid w:val="3B0FD379"/>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59">
    <w:nsid w:val="68EB2F6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60">
    <w:nsid w:val="4962813B"/>
    <w:multiLevelType w:val="hybridMultilevel"/>
    <w:lvl w:ilvl="0">
      <w:lvlJc w:val="left"/>
      <w:lvlText w:val="%1."/>
      <w:numFmt w:val="lowerRoman"/>
      <w:start w:val="8"/>
    </w:lvl>
  </w:abstractNum>
  <w:abstractNum w:abstractNumId="61">
    <w:nsid w:val="60B6DF70"/>
    <w:multiLevelType w:val="hybridMultilevel"/>
    <w:lvl w:ilvl="0">
      <w:lvlJc w:val="left"/>
      <w:lvlText w:val="%1."/>
      <w:numFmt w:val="lowerLetter"/>
      <w:start w:val="4"/>
    </w:lvl>
  </w:abstractNum>
  <w:abstractNum w:abstractNumId="62">
    <w:nsid w:val="6A5EE64"/>
    <w:multiLevelType w:val="hybridMultilevel"/>
    <w:lvl w:ilvl="0">
      <w:lvlJc w:val="left"/>
      <w:lvlText w:val="%1"/>
      <w:numFmt w:val="decimal"/>
      <w:start w:val="1"/>
    </w:lvl>
    <w:lvl w:ilvl="1">
      <w:lvlJc w:val="left"/>
      <w:lvlText w:val="%2."/>
      <w:numFmt w:val="lowerLetter"/>
      <w:start w:val="5"/>
    </w:lvl>
  </w:abstractNum>
  <w:abstractNum w:abstractNumId="63">
    <w:nsid w:val="14330624"/>
    <w:multiLevelType w:val="hybridMultilevel"/>
    <w:lvl w:ilvl="0">
      <w:lvlJc w:val="left"/>
      <w:lvlText w:val="%1."/>
      <w:numFmt w:val="decimal"/>
      <w:start w:val="6"/>
    </w:lvl>
    <w:lvl w:ilvl="1">
      <w:lvlJc w:val="left"/>
      <w:lvlText w:val="%2."/>
      <w:numFmt w:val="lowerLetter"/>
      <w:start w:val="1"/>
    </w:lvl>
  </w:abstractNum>
  <w:abstractNum w:abstractNumId="64">
    <w:nsid w:val="7FFFCA11"/>
    <w:multiLevelType w:val="hybridMultilevel"/>
    <w:lvl w:ilvl="0">
      <w:lvlJc w:val="left"/>
      <w:lvlText w:val="%1"/>
      <w:numFmt w:val="decimal"/>
      <w:start w:val="1"/>
    </w:lvl>
    <w:lvl w:ilvl="1">
      <w:lvlJc w:val="left"/>
      <w:lvlText w:val="%2."/>
      <w:numFmt w:val="lowerLetter"/>
      <w:start w:val="2"/>
    </w:lvl>
  </w:abstractNum>
  <w:abstractNum w:abstractNumId="65">
    <w:nsid w:val="1A27709E"/>
    <w:multiLevelType w:val="hybridMultilevel"/>
    <w:lvl w:ilvl="0">
      <w:lvlJc w:val="left"/>
      <w:lvlText w:val="%1."/>
      <w:numFmt w:val="decimal"/>
      <w:start w:val="7"/>
    </w:lvl>
    <w:lvl w:ilvl="1">
      <w:lvlJc w:val="left"/>
      <w:lvlText w:val="%2."/>
      <w:numFmt w:val="lowerLetter"/>
      <w:start w:val="1"/>
    </w:lvl>
  </w:abstractNum>
  <w:abstractNum w:abstractNumId="66">
    <w:nsid w:val="71EA1109"/>
    <w:multiLevelType w:val="hybridMultilevel"/>
    <w:lvl w:ilvl="0">
      <w:lvlJc w:val="left"/>
      <w:lvlText w:val="%1."/>
      <w:numFmt w:val="lowerLetter"/>
      <w:start w:val="2"/>
    </w:lvl>
  </w:abstractNum>
  <w:abstractNum w:abstractNumId="67">
    <w:nsid w:val="100F59DC"/>
    <w:multiLevelType w:val="hybridMultilevel"/>
    <w:lvl w:ilvl="0">
      <w:lvlJc w:val="left"/>
      <w:lvlText w:val="%1."/>
      <w:numFmt w:val="lowerLetter"/>
      <w:start w:val="6"/>
    </w:lvl>
  </w:abstractNum>
  <w:abstractNum w:abstractNumId="68">
    <w:nsid w:val="7FB7E0AA"/>
    <w:multiLevelType w:val="hybridMultilevel"/>
    <w:lvl w:ilvl="0">
      <w:lvlJc w:val="left"/>
      <w:lvlText w:val="%1."/>
      <w:numFmt w:val="lowerLetter"/>
      <w:start w:val="7"/>
    </w:lvl>
  </w:abstractNum>
  <w:abstractNum w:abstractNumId="69">
    <w:nsid w:val="6EB5BD4"/>
    <w:multiLevelType w:val="hybridMultilevel"/>
    <w:lvl w:ilvl="0">
      <w:lvlJc w:val="left"/>
      <w:lvlText w:val="%1"/>
      <w:numFmt w:val="decimal"/>
      <w:start w:val="1"/>
    </w:lvl>
    <w:lvl w:ilvl="1">
      <w:lvlJc w:val="left"/>
      <w:lvlText w:val="%2."/>
      <w:numFmt w:val="lowerLetter"/>
      <w:start w:val="10"/>
    </w:lvl>
  </w:abstractNum>
  <w:abstractNum w:abstractNumId="70">
    <w:nsid w:val="6F6DD9AC"/>
    <w:multiLevelType w:val="hybridMultilevel"/>
    <w:lvl w:ilvl="0">
      <w:lvlJc w:val="left"/>
      <w:lvlText w:val="%1."/>
      <w:numFmt w:val="decimal"/>
      <w:start w:val="8"/>
    </w:lvl>
    <w:lvl w:ilvl="1">
      <w:lvlJc w:val="left"/>
      <w:lvlText w:val="%2."/>
      <w:numFmt w:val="lowerLetter"/>
      <w:start w:val="1"/>
    </w:lvl>
  </w:abstractNum>
  <w:abstractNum w:abstractNumId="71">
    <w:nsid w:val="94211F2"/>
    <w:multiLevelType w:val="hybridMultilevel"/>
    <w:lvl w:ilvl="0">
      <w:lvlJc w:val="left"/>
      <w:lvlText w:val="%1."/>
      <w:numFmt w:val="lowerLetter"/>
      <w:start w:val="3"/>
    </w:lvl>
  </w:abstractNum>
  <w:abstractNum w:abstractNumId="72">
    <w:nsid w:val="885E1B"/>
    <w:multiLevelType w:val="hybridMultilevel"/>
    <w:lvl w:ilvl="0">
      <w:lvlJc w:val="left"/>
      <w:lvlText w:val="%1."/>
      <w:numFmt w:val="decimal"/>
      <w:start w:val="9"/>
    </w:lvl>
    <w:lvl w:ilvl="1">
      <w:lvlJc w:val="left"/>
      <w:lvlText w:val="%2."/>
      <w:numFmt w:val="lowerLetter"/>
      <w:start w:val="1"/>
    </w:lvl>
  </w:abstractNum>
  <w:abstractNum w:abstractNumId="73">
    <w:nsid w:val="76272110"/>
    <w:multiLevelType w:val="hybridMultilevel"/>
    <w:lvl w:ilvl="0">
      <w:lvlJc w:val="left"/>
      <w:lvlText w:val="%1."/>
      <w:numFmt w:val="decimal"/>
      <w:start w:val="16"/>
    </w:lvl>
  </w:abstractNum>
  <w:abstractNum w:abstractNumId="74">
    <w:nsid w:val="4C04A8AF"/>
    <w:multiLevelType w:val="hybridMultilevel"/>
    <w:lvl w:ilvl="0">
      <w:lvlJc w:val="left"/>
      <w:lvlText w:val="%1."/>
      <w:numFmt w:val="decimal"/>
      <w:start w:val="1"/>
    </w:lvl>
    <w:lvl w:ilvl="1">
      <w:lvlJc w:val="left"/>
      <w:lvlText w:val="%2."/>
      <w:numFmt w:val="lowerLetter"/>
      <w:start w:val="1"/>
    </w:lvl>
  </w:abstractNum>
  <w:abstractNum w:abstractNumId="75">
    <w:nsid w:val="1716703B"/>
    <w:multiLevelType w:val="hybridMultilevel"/>
    <w:lvl w:ilvl="0">
      <w:lvlJc w:val="left"/>
      <w:lvlText w:val="%1."/>
      <w:numFmt w:val="decimal"/>
      <w:start w:val="4"/>
    </w:lvl>
    <w:lvl w:ilvl="1">
      <w:lvlJc w:val="left"/>
      <w:lvlText w:val="%2."/>
      <w:numFmt w:val="lowerLetter"/>
      <w:start w:val="1"/>
    </w:lvl>
  </w:abstractNum>
  <w:abstractNum w:abstractNumId="76">
    <w:nsid w:val="14E17E3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7">
    <w:nsid w:val="3222E7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8">
    <w:nsid w:val="74DE0EE3"/>
    <w:multiLevelType w:val="hybridMultilevel"/>
    <w:lvl w:ilvl="0">
      <w:lvlJc w:val="left"/>
      <w:lvlText w:val="%1."/>
      <w:numFmt w:val="lowerRoman"/>
      <w:start w:val="3"/>
    </w:lvl>
  </w:abstractNum>
  <w:abstractNum w:abstractNumId="79">
    <w:nsid w:val="68EBC550"/>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80">
    <w:nsid w:val="2DF6D648"/>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81">
    <w:nsid w:val="46B7D44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82">
    <w:nsid w:val="4A2AC315"/>
    <w:multiLevelType w:val="hybridMultilevel"/>
    <w:lvl w:ilvl="0">
      <w:lvlJc w:val="left"/>
      <w:lvlText w:val="%1."/>
      <w:numFmt w:val="lowerRoman"/>
      <w:start w:val="8"/>
    </w:lvl>
  </w:abstractNum>
  <w:abstractNum w:abstractNumId="83">
    <w:nsid w:val="39EE015C"/>
    <w:multiLevelType w:val="hybridMultilevel"/>
    <w:lvl w:ilvl="0">
      <w:lvlJc w:val="left"/>
      <w:lvlText w:val="%1."/>
      <w:numFmt w:val="lowerLetter"/>
      <w:start w:val="4"/>
    </w:lvl>
  </w:abstractNum>
  <w:abstractNum w:abstractNumId="84">
    <w:nsid w:val="57FC4FBB"/>
    <w:multiLevelType w:val="hybridMultilevel"/>
    <w:lvl w:ilvl="0">
      <w:lvlJc w:val="left"/>
      <w:lvlText w:val="%1."/>
      <w:numFmt w:val="lowerLetter"/>
      <w:start w:val="5"/>
    </w:lvl>
  </w:abstractNum>
  <w:abstractNum w:abstractNumId="85">
    <w:nsid w:val="CC1016F"/>
    <w:multiLevelType w:val="hybridMultilevel"/>
    <w:lvl w:ilvl="0">
      <w:lvlJc w:val="left"/>
      <w:lvlText w:val="%1."/>
      <w:numFmt w:val="decimal"/>
      <w:start w:val="6"/>
    </w:lvl>
    <w:lvl w:ilvl="1">
      <w:lvlJc w:val="left"/>
      <w:lvlText w:val="%2."/>
      <w:numFmt w:val="lowerLetter"/>
      <w:start w:val="1"/>
    </w:lvl>
  </w:abstractNum>
  <w:abstractNum w:abstractNumId="86">
    <w:nsid w:val="43F18422"/>
    <w:multiLevelType w:val="hybridMultilevel"/>
    <w:lvl w:ilvl="0">
      <w:lvlJc w:val="left"/>
      <w:lvlText w:val="%1."/>
      <w:numFmt w:val="lowerLetter"/>
      <w:start w:val="2"/>
    </w:lvl>
    <w:lvl w:ilvl="1">
      <w:lvlJc w:val="left"/>
      <w:lvlText w:val="(%2)"/>
      <w:numFmt w:val="lowerRoman"/>
      <w:start w:val="2"/>
    </w:lvl>
  </w:abstractNum>
  <w:abstractNum w:abstractNumId="87">
    <w:nsid w:val="60EF0119"/>
    <w:multiLevelType w:val="hybridMultilevel"/>
    <w:lvl w:ilvl="0">
      <w:lvlJc w:val="left"/>
      <w:lvlText w:val="%1"/>
      <w:numFmt w:val="lowerLetter"/>
      <w:start w:val="1"/>
    </w:lvl>
    <w:lvl w:ilvl="1">
      <w:lvlJc w:val="left"/>
      <w:lvlText w:val="(%2)"/>
      <w:numFmt w:val="lowerRoman"/>
      <w:start w:val="10"/>
    </w:lvl>
  </w:abstractNum>
  <w:abstractNum w:abstractNumId="88">
    <w:nsid w:val="26F324BA"/>
    <w:multiLevelType w:val="hybridMultilevel"/>
    <w:lvl w:ilvl="0">
      <w:lvlJc w:val="left"/>
      <w:lvlText w:val="%1."/>
      <w:numFmt w:val="lowerLetter"/>
      <w:start w:val="5"/>
    </w:lvl>
  </w:abstractNum>
  <w:abstractNum w:abstractNumId="89">
    <w:nsid w:val="7F01579B"/>
    <w:multiLevelType w:val="hybridMultilevel"/>
    <w:lvl w:ilvl="0">
      <w:lvlJc w:val="left"/>
      <w:lvlText w:val="%1."/>
      <w:numFmt w:val="lowerLetter"/>
      <w:start w:val="6"/>
    </w:lvl>
  </w:abstractNum>
  <w:abstractNum w:abstractNumId="90">
    <w:nsid w:val="49DA307D"/>
    <w:multiLevelType w:val="hybridMultilevel"/>
    <w:lvl w:ilvl="0">
      <w:lvlJc w:val="left"/>
      <w:lvlText w:val="%1."/>
      <w:numFmt w:val="lowerLetter"/>
      <w:start w:val="7"/>
    </w:lvl>
  </w:abstractNum>
  <w:abstractNum w:abstractNumId="91">
    <w:nsid w:val="7055A5F5"/>
    <w:multiLevelType w:val="hybridMultilevel"/>
    <w:lvl w:ilvl="0">
      <w:lvlJc w:val="left"/>
      <w:lvlText w:val="%1"/>
      <w:numFmt w:val="decimal"/>
      <w:start w:val="1"/>
    </w:lvl>
    <w:lvl w:ilvl="1">
      <w:lvlJc w:val="left"/>
      <w:lvlText w:val="%2."/>
      <w:numFmt w:val="lowerLetter"/>
      <w:start w:val="10"/>
    </w:lvl>
  </w:abstractNum>
  <w:abstractNum w:abstractNumId="92">
    <w:nsid w:val="5FB8370B"/>
    <w:multiLevelType w:val="hybridMultilevel"/>
    <w:lvl w:ilvl="0">
      <w:lvlJc w:val="left"/>
      <w:lvlText w:val="%1."/>
      <w:numFmt w:val="decimal"/>
      <w:start w:val="8"/>
    </w:lvl>
    <w:lvl w:ilvl="1">
      <w:lvlJc w:val="left"/>
      <w:lvlText w:val="%2."/>
      <w:numFmt w:val="lowerLetter"/>
      <w:start w:val="1"/>
    </w:lvl>
  </w:abstractNum>
  <w:abstractNum w:abstractNumId="93">
    <w:nsid w:val="50801EE1"/>
    <w:multiLevelType w:val="hybridMultilevel"/>
    <w:lvl w:ilvl="0">
      <w:lvlJc w:val="left"/>
      <w:lvlText w:val="%1"/>
      <w:numFmt w:val="decimal"/>
      <w:start w:val="1"/>
    </w:lvl>
    <w:lvl w:ilvl="1">
      <w:lvlJc w:val="left"/>
      <w:lvlText w:val="%2."/>
      <w:numFmt w:val="lowerLetter"/>
      <w:start w:val="3"/>
    </w:lvl>
  </w:abstractNum>
  <w:abstractNum w:abstractNumId="94">
    <w:nsid w:val="488AC1A"/>
    <w:multiLevelType w:val="hybridMultilevel"/>
    <w:lvl w:ilvl="0">
      <w:lvlJc w:val="left"/>
      <w:lvlText w:val="%1."/>
      <w:numFmt w:val="decimal"/>
      <w:start w:val="9"/>
    </w:lvl>
    <w:lvl w:ilvl="1">
      <w:lvlJc w:val="left"/>
      <w:lvlText w:val="%2"/>
      <w:numFmt w:val="lowerLetter"/>
      <w:start w:val="1"/>
    </w:lvl>
  </w:abstractNum>
  <w:abstractNum w:abstractNumId="95">
    <w:nsid w:val="5FB8011C"/>
    <w:multiLevelType w:val="hybridMultilevel"/>
    <w:lvl w:ilvl="0">
      <w:lvlJc w:val="left"/>
      <w:lvlText w:val="%1."/>
      <w:numFmt w:val="decimal"/>
      <w:start w:val="10"/>
    </w:lvl>
    <w:lvl w:ilvl="1">
      <w:lvlJc w:val="left"/>
      <w:lvlText w:val="%2."/>
      <w:numFmt w:val="lowerLetter"/>
      <w:start w:val="1"/>
    </w:lvl>
  </w:abstractNum>
  <w:abstractNum w:abstractNumId="96">
    <w:nsid w:val="6AA78F7F"/>
    <w:multiLevelType w:val="hybridMultilevel"/>
    <w:lvl w:ilvl="0">
      <w:lvlJc w:val="left"/>
      <w:lvlText w:val="%1."/>
      <w:numFmt w:val="decimal"/>
      <w:start w:val="16"/>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12" Type="http://schemas.openxmlformats.org/officeDocument/2006/relationships/hyperlink" Target="https://www.sec.gov/Archives/edgar/data/1756390/000162828021007411/exhibit34-sx1a2.htm" TargetMode="External"/><Relationship Id="rId113" Type="http://schemas.openxmlformats.org/officeDocument/2006/relationships/hyperlink" Target="https://www.sec.gov/Archives/edgar/data/1756390/000162828021007411/exhibit35-sx1a2.htm" TargetMode="External"/><Relationship Id="rId114" Type="http://schemas.openxmlformats.org/officeDocument/2006/relationships/hyperlink" Target="https://www.sec.gov/Archives/edgar/data/1756390/000162828021006948/exhibit41-sx1a1.htm" TargetMode="External"/><Relationship Id="rId115" Type="http://schemas.openxmlformats.org/officeDocument/2006/relationships/hyperlink" Target="https://www.sec.gov/Archives/edgar/data/1756390/000162828021007411/exhibit42-sx1a2.htm" TargetMode="External"/><Relationship Id="rId116" Type="http://schemas.openxmlformats.org/officeDocument/2006/relationships/hyperlink" Target="https://www.sec.gov/Archives/edgar/data/1756390/000162828022022910/formofwarrantagreement.htm" TargetMode="External"/><Relationship Id="rId117" Type="http://schemas.openxmlformats.org/officeDocument/2006/relationships/hyperlink" Target="https://www.sec.gov/Archives/edgar/data/1756390/000162828024032485/awh-2024notesindentureex41.htm" TargetMode="External"/><Relationship Id="rId118" Type="http://schemas.openxmlformats.org/officeDocument/2006/relationships/hyperlink" Target="https://www.sec.gov/Archives/edgar/data/1756390/000162828024032485/ascend-guarantyex42toform8.htm" TargetMode="External"/><Relationship Id="rId119" Type="http://schemas.openxmlformats.org/officeDocument/2006/relationships/hyperlink" Target="https://www.sec.gov/Archives/edgar/data/1756390/000162828024032485/ascend-pledgeandsecurity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2024-11-12T16:51:28Z</dcterms:created>
  <dcterms:modified xsi:type="dcterms:W3CDTF">2024-11-12T16:51:28Z</dcterms:modified>
</cp:coreProperties>
</file>