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jc w:val="center"/>
        <w:rPr/>
      </w:pPr>
      <w:r>
        <w:rPr/>
      </w:r>
    </w:p>
    <w:p>
      <w:pPr>
        <w:pStyle w:val="TextBody"/>
        <w:spacing w:before="0" w:after="24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 to______</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333-254800 </w:t>
      </w:r>
    </w:p>
    <w:p>
      <w:pPr>
        <w:pStyle w:val="TextBody"/>
        <w:spacing w:before="0" w:after="0"/>
        <w:jc w:val="center"/>
        <w:rPr/>
      </w:pPr>
      <w:r>
        <w:rPr/>
        <w:drawing>
          <wp:inline distT="0" distB="6350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ASCEND WELLNESS HOLDINGS, INC.</w:t>
      </w:r>
    </w:p>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83-0602006</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1411 Broadway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16th Floor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 10018</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(646) 661-7600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7552" w:type="dxa"/>
        <w:jc w:val="center"/>
        <w:tblInd w:w="0" w:type="dxa"/>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before="0" w:after="180"/>
        <w:jc w:val="center"/>
        <w:rPr/>
      </w:pPr>
      <w:r>
        <w:rPr/>
      </w:r>
    </w:p>
    <w:p>
      <w:pPr>
        <w:pStyle w:val="TextBody"/>
        <w:spacing w:before="0" w:after="180"/>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As of May 8, 2023, there were 194,850,072 shares of the registrant’s Class A common stock, par value $0.001, and 65,000 shares of the registrant’s Class B common stock, par value $0.001,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51" w:type="dxa"/>
        <w:jc w:val="left"/>
        <w:tblInd w:w="0" w:type="dxa"/>
        <w:tblCellMar>
          <w:top w:w="28" w:type="dxa"/>
          <w:left w:w="28" w:type="dxa"/>
          <w:bottom w:w="28" w:type="dxa"/>
          <w:right w:w="28" w:type="dxa"/>
        </w:tblCellMar>
      </w:tblPr>
      <w:tblGrid>
        <w:gridCol w:w="2891"/>
        <w:gridCol w:w="2542"/>
        <w:gridCol w:w="2546"/>
        <w:gridCol w:w="109"/>
        <w:gridCol w:w="109"/>
        <w:gridCol w:w="154"/>
      </w:tblGrid>
      <w:tr>
        <w:trPr/>
        <w:tc>
          <w:tcPr>
            <w:tcW w:w="2891"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2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0">
              <w:r>
                <w:rPr>
                  <w:rStyle w:val="InternetLink"/>
                  <w:rFonts w:ascii="Times New Roman;sans-serif" w:hAnsi="Times New Roman;sans-serif"/>
                  <w:b/>
                  <w:strike w:val="false"/>
                  <w:dstrike w:val="false"/>
                  <w:color w:val="000000"/>
                  <w:sz w:val="20"/>
                  <w:u w:val="none"/>
                  <w:effect w:val="none"/>
                </w:rPr>
                <w:t>FORWARD-LOOKING STATEMENTS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0">
              <w:r>
                <w:rPr>
                  <w:rStyle w:val="InternetLink"/>
                  <w:rFonts w:ascii="Times New Roman;sans-serif" w:hAnsi="Times New Roman;sans-serif"/>
                  <w:b w:val="false"/>
                  <w:color w:val="0000FF"/>
                  <w:sz w:val="20"/>
                  <w:u w:val="single"/>
                </w:rPr>
                <w:t>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3">
              <w:r>
                <w:rPr>
                  <w:rStyle w:val="InternetLink"/>
                  <w:rFonts w:ascii="Times New Roman;sans-serif" w:hAnsi="Times New Roman;sans-serif"/>
                  <w:b/>
                  <w:strike w:val="false"/>
                  <w:dstrike w:val="false"/>
                  <w:color w:val="000000"/>
                  <w:sz w:val="20"/>
                  <w:u w:val="none"/>
                  <w:effect w:val="none"/>
                </w:rPr>
                <w:t>PART I. FINANCIAL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3">
              <w:r>
                <w:rPr>
                  <w:rStyle w:val="InternetLink"/>
                  <w:rFonts w:ascii="Times New Roman;sans-serif" w:hAnsi="Times New Roman;sans-serif"/>
                  <w:b w:val="false"/>
                  <w:color w:val="0000FF"/>
                  <w:sz w:val="20"/>
                  <w:u w:val="single"/>
                </w:rPr>
                <w:t>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6">
              <w:r>
                <w:rPr>
                  <w:rStyle w:val="InternetLink"/>
                  <w:rFonts w:ascii="Times New Roman;sans-serif" w:hAnsi="Times New Roman;sans-serif"/>
                  <w:b w:val="false"/>
                  <w:strike w:val="false"/>
                  <w:dstrike w:val="false"/>
                  <w:color w:val="000000"/>
                  <w:sz w:val="20"/>
                  <w:u w:val="none"/>
                  <w:effect w:val="none"/>
                </w:rPr>
                <w:t>Item 1. Condensed Consolidated Financial Statements (Unaudited)</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6">
              <w:r>
                <w:rPr>
                  <w:rStyle w:val="InternetLink"/>
                  <w:rFonts w:ascii="Times New Roman;sans-serif" w:hAnsi="Times New Roman;sans-serif"/>
                  <w:b w:val="false"/>
                  <w:color w:val="0000FF"/>
                  <w:sz w:val="20"/>
                  <w:u w:val="single"/>
                </w:rPr>
                <w:t>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03">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03">
              <w:r>
                <w:rPr>
                  <w:rStyle w:val="InternetLink"/>
                  <w:rFonts w:ascii="Times New Roman;sans-serif" w:hAnsi="Times New Roman;sans-serif"/>
                  <w:b w:val="false"/>
                  <w:color w:val="0000FF"/>
                  <w:sz w:val="20"/>
                  <w:u w:val="single"/>
                </w:rPr>
                <w:t>31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36">
              <w:r>
                <w:rPr>
                  <w:rStyle w:val="InternetLink"/>
                  <w:rFonts w:ascii="Times New Roman;sans-serif" w:hAnsi="Times New Roman;sans-serif"/>
                  <w:b w:val="false"/>
                  <w:strike w:val="false"/>
                  <w:dstrike w:val="false"/>
                  <w:color w:val="000000"/>
                  <w:sz w:val="20"/>
                  <w:u w:val="none"/>
                  <w:effect w:val="none"/>
                </w:rPr>
                <w:t>Item 3. Quantitative and Qualitative Disclosures About Market Risk</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36">
              <w:r>
                <w:rPr>
                  <w:rStyle w:val="InternetLink"/>
                  <w:rFonts w:ascii="Times New Roman;sans-serif" w:hAnsi="Times New Roman;sans-serif"/>
                  <w:b w:val="false"/>
                  <w:color w:val="0000FF"/>
                  <w:sz w:val="20"/>
                  <w:u w:val="single"/>
                </w:rPr>
                <w:t>46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39">
              <w:r>
                <w:rPr>
                  <w:rStyle w:val="InternetLink"/>
                  <w:rFonts w:ascii="Times New Roman;sans-serif" w:hAnsi="Times New Roman;sans-serif"/>
                  <w:b w:val="false"/>
                  <w:strike w:val="false"/>
                  <w:dstrike w:val="false"/>
                  <w:color w:val="000000"/>
                  <w:sz w:val="20"/>
                  <w:u w:val="none"/>
                  <w:effect w:val="none"/>
                </w:rPr>
                <w:t>Item 4. Controls and Procedures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39">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42">
              <w:r>
                <w:rPr>
                  <w:rStyle w:val="InternetLink"/>
                  <w:rFonts w:ascii="Times New Roman;sans-serif" w:hAnsi="Times New Roman;sans-serif"/>
                  <w:b/>
                  <w:strike w:val="false"/>
                  <w:dstrike w:val="false"/>
                  <w:color w:val="000000"/>
                  <w:sz w:val="20"/>
                  <w:u w:val="none"/>
                  <w:effect w:val="none"/>
                </w:rPr>
                <w:t>PART II.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42">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45">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45">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48">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48">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51">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51">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54">
              <w:r>
                <w:rPr>
                  <w:rStyle w:val="InternetLink"/>
                  <w:rFonts w:ascii="Times New Roman;sans-serif" w:hAnsi="Times New Roman;sans-serif"/>
                  <w:b w:val="false"/>
                  <w:strike w:val="false"/>
                  <w:dstrike w:val="false"/>
                  <w:color w:val="000000"/>
                  <w:sz w:val="20"/>
                  <w:u w:val="none"/>
                  <w:effect w:val="none"/>
                </w:rPr>
                <w:t>Item 3. Defaults Upon Senior Securities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54">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57">
              <w:r>
                <w:rPr>
                  <w:rStyle w:val="InternetLink"/>
                  <w:rFonts w:ascii="Times New Roman;sans-serif" w:hAnsi="Times New Roman;sans-serif"/>
                  <w:b w:val="false"/>
                  <w:strike w:val="false"/>
                  <w:dstrike w:val="false"/>
                  <w:color w:val="000000"/>
                  <w:sz w:val="20"/>
                  <w:u w:val="none"/>
                  <w:effect w:val="none"/>
                </w:rPr>
                <w:t>Item 4. Mine Safety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57">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60">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60">
              <w:r>
                <w:rPr>
                  <w:rStyle w:val="InternetLink"/>
                  <w:rFonts w:ascii="Times New Roman;sans-serif" w:hAnsi="Times New Roman;sans-serif"/>
                  <w:b w:val="false"/>
                  <w:color w:val="0000FF"/>
                  <w:sz w:val="20"/>
                  <w:u w:val="single"/>
                </w:rPr>
                <w:t>47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63">
              <w:r>
                <w:rPr>
                  <w:rStyle w:val="InternetLink"/>
                  <w:rFonts w:ascii="Times New Roman;sans-serif" w:hAnsi="Times New Roman;sans-serif"/>
                  <w:b w:val="false"/>
                  <w:strike w:val="false"/>
                  <w:dstrike w:val="false"/>
                  <w:color w:val="000000"/>
                  <w:sz w:val="20"/>
                  <w:u w:val="none"/>
                  <w:effect w:val="none"/>
                </w:rPr>
                <w:t>Item 6. Exhibits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63">
              <w:r>
                <w:rPr>
                  <w:rStyle w:val="InternetLink"/>
                  <w:rFonts w:ascii="Times New Roman;sans-serif" w:hAnsi="Times New Roman;sans-serif"/>
                  <w:b w:val="false"/>
                  <w:color w:val="0000FF"/>
                  <w:sz w:val="20"/>
                  <w:u w:val="single"/>
                </w:rPr>
                <w:t>48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18255e1f2da4a129e3fffbcc86f3765_166">
              <w:r>
                <w:rPr>
                  <w:rStyle w:val="InternetLink"/>
                  <w:rFonts w:ascii="Times New Roman;sans-serif" w:hAnsi="Times New Roman;sans-serif"/>
                  <w:b/>
                  <w:strike w:val="false"/>
                  <w:dstrike w:val="false"/>
                  <w:color w:val="000000"/>
                  <w:sz w:val="20"/>
                  <w:u w:val="none"/>
                  <w:effect w:val="none"/>
                </w:rPr>
                <w:t>SIGNATURES</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18255e1f2da4a129e3fffbcc86f3765_166">
              <w:r>
                <w:rPr>
                  <w:rStyle w:val="InternetLink"/>
                  <w:rFonts w:ascii="Times New Roman;sans-serif" w:hAnsi="Times New Roman;sans-serif"/>
                  <w:b w:val="false"/>
                  <w:color w:val="0000FF"/>
                  <w:sz w:val="20"/>
                  <w:u w:val="single"/>
                </w:rPr>
                <w:t>49</w:t>
              </w:r>
            </w:hyperlink>
          </w:p>
        </w:tc>
      </w:tr>
    </w:tbl>
    <w:p>
      <w:pPr>
        <w:pStyle w:val="TextBody"/>
        <w:spacing w:before="0" w:after="180"/>
        <w:ind w:left="0" w:right="0" w:firstLine="720"/>
        <w:jc w:val="right"/>
        <w:rPr/>
      </w:pPr>
      <w:r>
        <w:rPr/>
      </w:r>
    </w:p>
    <w:p>
      <w:pPr>
        <w:pStyle w:val="TextBody"/>
        <w:spacing w:before="0" w:after="180"/>
        <w:ind w:left="0" w:right="0" w:firstLine="72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volatility of the market price and liquidity risks on shares of our Class A common stock;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voting control exercised by holders of Class B common stock;</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attract and maintain key personnel;</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continue to open new dispensaries and cultivation facilities as anticipated;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illegality of cannabis under federal law;</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state and federal regulations;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uncertainty regarding enforcement of cannabis laws;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restricted access to banking and other financial services;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constraints on marketing and risks related to our products;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tax treatment for cannabis businesses;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proposed legislation on our tax liabilities and financial performance;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security risks;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infringement or misappropriation claims by third parties;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potential future U.S. Food and Drug Administration (the “FDA”) regulations;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enforce our contracts;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publicity or consumer perception;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material acquisitions, dispositions and other strategic transactions;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agricultural and environmental risks;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climate change;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information technology systems;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unknown health impacts associated with the use of cannabis and cannabis derivative products;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product liability claims and other litigation to which we may be subjected;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the results of future clinical research;</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intense competition in the industry;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maturation of the cannabis market;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adverse changes in the wholesale and retail prices;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sustained inflation;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political and economic instability;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outbreaks of pandemic diseases, fear of such outbreaks or economic disturbances due to such outbreaks, particularly the impact of the COVID-19 pandemic;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general economic risks, such as the unemployment level, interest rates, and inflation, and challenging global economic conditions.</w:t>
      </w:r>
      <w:r>
        <w:rPr>
          <w:color w:val="EE2724"/>
        </w:rPr>
        <w:t xml:space="preserve">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2022 (the “Annual Report”)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946"/>
        <w:gridCol w:w="2201"/>
        <w:gridCol w:w="2209"/>
        <w:gridCol w:w="220"/>
        <w:gridCol w:w="827"/>
        <w:gridCol w:w="122"/>
        <w:gridCol w:w="109"/>
        <w:gridCol w:w="109"/>
        <w:gridCol w:w="109"/>
        <w:gridCol w:w="243"/>
        <w:gridCol w:w="914"/>
        <w:gridCol w:w="196"/>
      </w:tblGrid>
      <w:tr>
        <w:trPr/>
        <w:tc>
          <w:tcPr>
            <w:tcW w:w="2946" w:type="dxa"/>
            <w:tcBorders/>
            <w:shd w:fill="auto" w:val="clear"/>
            <w:vAlign w:val="center"/>
          </w:tcPr>
          <w:p>
            <w:pPr>
              <w:pStyle w:val="TableContents"/>
              <w:spacing w:before="0" w:after="283"/>
              <w:rPr>
                <w:sz w:val="4"/>
                <w:szCs w:val="4"/>
              </w:rPr>
            </w:pPr>
            <w:r>
              <w:rPr>
                <w:sz w:val="4"/>
                <w:szCs w:val="4"/>
              </w:rPr>
            </w:r>
          </w:p>
        </w:tc>
        <w:tc>
          <w:tcPr>
            <w:tcW w:w="2201"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73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204,208 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214,942 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221,093 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870,088 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242,888 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229,816 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10,000 shares authorized, none issued and outstanding as of March 31, 2023 and December 31, 2022</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 750,000 shares authorized; 189,501 and 187,999 shares issued and outstanding at March 31, 2023 and December 31, 2022</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$0.001 par value per share, 100 shares authorized; 65 issued and outstanding at March 31, 2023 and December 31, 2022</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434,392 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430,375 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(285,620)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7356"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148,961 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870,088 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ind w:left="0" w:right="0" w:firstLine="72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670"/>
        <w:gridCol w:w="2326"/>
        <w:gridCol w:w="2335"/>
        <w:gridCol w:w="196"/>
        <w:gridCol w:w="736"/>
        <w:gridCol w:w="109"/>
        <w:gridCol w:w="109"/>
        <w:gridCol w:w="109"/>
        <w:gridCol w:w="109"/>
        <w:gridCol w:w="196"/>
        <w:gridCol w:w="718"/>
        <w:gridCol w:w="109"/>
        <w:gridCol w:w="109"/>
        <w:gridCol w:w="109"/>
        <w:gridCol w:w="109"/>
        <w:gridCol w:w="156"/>
      </w:tblGrid>
      <w:tr>
        <w:trPr/>
        <w:tc>
          <w:tcPr>
            <w:tcW w:w="2670"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3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profit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income </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3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73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3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1033"/>
        <w:gridCol w:w="804"/>
        <w:gridCol w:w="776"/>
        <w:gridCol w:w="368"/>
        <w:gridCol w:w="368"/>
        <w:gridCol w:w="211"/>
        <w:gridCol w:w="121"/>
        <w:gridCol w:w="121"/>
        <w:gridCol w:w="121"/>
        <w:gridCol w:w="232"/>
        <w:gridCol w:w="470"/>
        <w:gridCol w:w="121"/>
        <w:gridCol w:w="109"/>
        <w:gridCol w:w="109"/>
        <w:gridCol w:w="109"/>
        <w:gridCol w:w="295"/>
        <w:gridCol w:w="1112"/>
        <w:gridCol w:w="164"/>
        <w:gridCol w:w="109"/>
        <w:gridCol w:w="109"/>
        <w:gridCol w:w="109"/>
        <w:gridCol w:w="253"/>
        <w:gridCol w:w="981"/>
        <w:gridCol w:w="143"/>
        <w:gridCol w:w="109"/>
        <w:gridCol w:w="109"/>
        <w:gridCol w:w="109"/>
        <w:gridCol w:w="109"/>
        <w:gridCol w:w="109"/>
        <w:gridCol w:w="109"/>
        <w:gridCol w:w="109"/>
        <w:gridCol w:w="196"/>
        <w:gridCol w:w="736"/>
        <w:gridCol w:w="162"/>
      </w:tblGrid>
      <w:tr>
        <w:trPr/>
        <w:tc>
          <w:tcPr>
            <w:tcW w:w="103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1"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421" w:type="dxa"/>
            <w:gridSpan w:val="6"/>
            <w:tcBorders/>
            <w:shd w:fill="auto" w:val="clea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561" w:type="dxa"/>
            <w:gridSpan w:val="16"/>
            <w:tcBorders/>
            <w:shd w:fill="auto" w:val="clear"/>
          </w:tcPr>
          <w:p>
            <w:pPr>
              <w:pStyle w:val="TableContents"/>
              <w:spacing w:before="0" w:after="283"/>
              <w:rPr>
                <w:sz w:val="4"/>
                <w:szCs w:val="4"/>
              </w:rPr>
            </w:pPr>
            <w:r>
              <w:rPr>
                <w:sz w:val="4"/>
                <w:szCs w:val="4"/>
              </w:rPr>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188,064 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434,392 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(285,620)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148,961 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both"/>
        <w:rPr/>
      </w:pPr>
      <w:r>
        <w:rPr/>
      </w:r>
    </w:p>
    <w:tbl>
      <w:tblPr>
        <w:tblW w:w="10205" w:type="dxa"/>
        <w:jc w:val="left"/>
        <w:tblInd w:w="0" w:type="dxa"/>
        <w:tblCellMar>
          <w:top w:w="28" w:type="dxa"/>
          <w:left w:w="28" w:type="dxa"/>
          <w:bottom w:w="28" w:type="dxa"/>
          <w:right w:w="28" w:type="dxa"/>
        </w:tblCellMar>
      </w:tblPr>
      <w:tblGrid>
        <w:gridCol w:w="1033"/>
        <w:gridCol w:w="805"/>
        <w:gridCol w:w="776"/>
        <w:gridCol w:w="368"/>
        <w:gridCol w:w="368"/>
        <w:gridCol w:w="211"/>
        <w:gridCol w:w="121"/>
        <w:gridCol w:w="121"/>
        <w:gridCol w:w="121"/>
        <w:gridCol w:w="232"/>
        <w:gridCol w:w="470"/>
        <w:gridCol w:w="121"/>
        <w:gridCol w:w="109"/>
        <w:gridCol w:w="109"/>
        <w:gridCol w:w="109"/>
        <w:gridCol w:w="295"/>
        <w:gridCol w:w="1112"/>
        <w:gridCol w:w="164"/>
        <w:gridCol w:w="109"/>
        <w:gridCol w:w="109"/>
        <w:gridCol w:w="109"/>
        <w:gridCol w:w="253"/>
        <w:gridCol w:w="981"/>
        <w:gridCol w:w="143"/>
        <w:gridCol w:w="109"/>
        <w:gridCol w:w="109"/>
        <w:gridCol w:w="109"/>
        <w:gridCol w:w="109"/>
        <w:gridCol w:w="109"/>
        <w:gridCol w:w="109"/>
        <w:gridCol w:w="109"/>
        <w:gridCol w:w="196"/>
        <w:gridCol w:w="736"/>
        <w:gridCol w:w="161"/>
      </w:tblGrid>
      <w:tr>
        <w:trPr/>
        <w:tc>
          <w:tcPr>
            <w:tcW w:w="103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1"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420" w:type="dxa"/>
            <w:gridSpan w:val="6"/>
            <w:tcBorders/>
            <w:shd w:fill="auto" w:val="clear"/>
          </w:tcPr>
          <w:p>
            <w:pPr>
              <w:pStyle w:val="TableContents"/>
              <w:spacing w:before="0" w:after="283"/>
              <w:rPr>
                <w:sz w:val="4"/>
                <w:szCs w:val="4"/>
              </w:rPr>
            </w:pPr>
            <w:r>
              <w:rPr>
                <w:sz w:val="4"/>
                <w:szCs w:val="4"/>
              </w:rPr>
            </w:r>
          </w:p>
        </w:tc>
      </w:tr>
      <w:tr>
        <w:trPr/>
        <w:tc>
          <w:tcPr>
            <w:tcW w:w="2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2" w:type="dxa"/>
            <w:gridSpan w:val="12"/>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Pr>
          <w:p>
            <w:pPr>
              <w:pStyle w:val="TableContents"/>
              <w:spacing w:before="0" w:after="283"/>
              <w:rPr>
                <w:sz w:val="4"/>
                <w:szCs w:val="4"/>
              </w:rPr>
            </w:pPr>
            <w:r>
              <w:rPr>
                <w:sz w:val="4"/>
                <w:szCs w:val="4"/>
              </w:rPr>
            </w:r>
          </w:p>
        </w:tc>
      </w:tr>
      <w:tr>
        <w:trPr/>
        <w:tc>
          <w:tcPr>
            <w:tcW w:w="2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rewards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(214,064)</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2614"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88" w:type="dxa"/>
        <w:jc w:val="left"/>
        <w:tblInd w:w="0" w:type="dxa"/>
        <w:tblCellMar>
          <w:top w:w="28" w:type="dxa"/>
          <w:left w:w="28" w:type="dxa"/>
          <w:bottom w:w="28" w:type="dxa"/>
          <w:right w:w="28" w:type="dxa"/>
        </w:tblCellMar>
      </w:tblPr>
      <w:tblGrid>
        <w:gridCol w:w="2444"/>
        <w:gridCol w:w="2149"/>
        <w:gridCol w:w="2156"/>
        <w:gridCol w:w="196"/>
        <w:gridCol w:w="721"/>
        <w:gridCol w:w="109"/>
        <w:gridCol w:w="109"/>
        <w:gridCol w:w="109"/>
        <w:gridCol w:w="109"/>
        <w:gridCol w:w="196"/>
        <w:gridCol w:w="736"/>
        <w:gridCol w:w="154"/>
      </w:tblGrid>
      <w:tr>
        <w:trPr/>
        <w:tc>
          <w:tcPr>
            <w:tcW w:w="2444"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Reimbursements for (additions to) capital assets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notes receivable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notes receivable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finance leases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TextBody"/>
        <w:spacing w:before="0" w:after="180"/>
        <w:ind w:left="0" w:right="0" w:firstLine="720"/>
        <w:jc w:val="both"/>
        <w:rPr/>
      </w:pPr>
      <w:r>
        <w:rPr/>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(CONTINUED, UNAUDITED)</w:t>
      </w:r>
    </w:p>
    <w:p>
      <w:pPr>
        <w:pStyle w:val="TextBody"/>
        <w:spacing w:before="0" w:after="0"/>
        <w:jc w:val="center"/>
        <w:rPr/>
      </w:pPr>
      <w:r>
        <w:rPr/>
      </w:r>
    </w:p>
    <w:tbl>
      <w:tblPr>
        <w:tblW w:w="6429" w:type="dxa"/>
        <w:jc w:val="left"/>
        <w:tblInd w:w="0" w:type="dxa"/>
        <w:tblCellMar>
          <w:top w:w="28" w:type="dxa"/>
          <w:left w:w="28" w:type="dxa"/>
          <w:bottom w:w="28" w:type="dxa"/>
          <w:right w:w="28" w:type="dxa"/>
        </w:tblCellMar>
      </w:tblPr>
      <w:tblGrid>
        <w:gridCol w:w="1568"/>
        <w:gridCol w:w="1379"/>
        <w:gridCol w:w="1388"/>
        <w:gridCol w:w="196"/>
        <w:gridCol w:w="556"/>
        <w:gridCol w:w="109"/>
        <w:gridCol w:w="109"/>
        <w:gridCol w:w="109"/>
        <w:gridCol w:w="109"/>
        <w:gridCol w:w="196"/>
        <w:gridCol w:w="556"/>
        <w:gridCol w:w="154"/>
      </w:tblGrid>
      <w:tr>
        <w:trPr/>
        <w:tc>
          <w:tcPr>
            <w:tcW w:w="15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incurred but not yet paid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60" w:after="180"/>
        <w:rPr>
          <w:rFonts w:ascii="Times New Roman;sans-serif" w:hAnsi="Times New Roman;sans-serif"/>
          <w:b/>
          <w:color w:val="000000"/>
          <w:sz w:val="20"/>
        </w:rPr>
      </w:pPr>
      <w:r>
        <w:rPr>
          <w:rFonts w:ascii="Times New Roman;sans-serif" w:hAnsi="Times New Roman;sans-serif"/>
          <w:b/>
          <w:color w:val="000000"/>
          <w:sz w:val="20"/>
        </w:rPr>
        <w:t>1. THE COMPANY AND NATURE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Massachusetts, Michigan, Ohio, New Jersey,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pStyle w:val="TextBody"/>
        <w:spacing w:lineRule="auto" w:line="288" w:before="0" w:after="180"/>
        <w:ind w:left="0" w:right="0" w:firstLine="720"/>
        <w:jc w:val="both"/>
        <w:rPr/>
      </w:pPr>
      <w:r>
        <w:rPr>
          <w:rFonts w:ascii="Times New Roman;sans-serif" w:hAnsi="Times New Roman;sans-serif"/>
          <w:b w:val="false"/>
          <w:color w:val="000000"/>
          <w:sz w:val="20"/>
        </w:rPr>
        <w:t>Shares of the Company’s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(the “OTCQX”) under the symbol “AAWH.”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2022 (the “Annual Report”), as filed with the United States Securities and Exchange Commission (“SEC”) and with the relevant Canadian securities regulatory authorities under its profile on the System for Electronic Document Analysis and Retrieval (“SEDAR”). Except as noted below, there have been no material changes to the Company’s significant accounting policies and estimates during the three months ended March 31, 2023.</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to conform with our current period presentation. These changes had no impact on our previously reported net loss.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March 31, 2023 and December 31, 2022, as well as a net loss for the three months ended March 31, 2023 and 2022,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did not hold significant restricted cash or cash equivalents.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had no transfers of assets or liabilities between any of the hierarchy levels.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Basic and Diluted Loss per Share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At March 31, 2023 and 2022, 14,976 and 11,447 shares of common stock equivalents, respectively, were excluded from the calculation of diluted EPS because their inclusion would have been anti-dilutive.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outstanding for financial statement presentation purposes only after such shares have vested and, therefore, have ceased to be subject to a risk of forfeiture.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standards have been recently adopted by the Company. Recently effective standards that are not applicable to the Company or where it has been determined do not have a significant impact on us have been excluded herein.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On January 1, 2023, the Company adopted 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(“ASU 2016-13”) and the related subsequent amendments, transitional guidance, and other interpretive guidance within ASU 2019-05, ASU 2019-11, ASU 2020-03, and ASU 2022-02 (collectively, including ASU 2016-13, “ASC 326”). ASC 326 replaces the guidance surrounding measurement and recognition of credit losses on financial assets 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results in earlier recognition of credit losses than the previous “as incurred” model, under which losses are recognized only upon the occurrence of an event that gives rise to the incurrence of a probable loss.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ASU 2019-05, </w:t>
      </w:r>
      <w:r>
        <w:rPr>
          <w:rFonts w:ascii="Times New Roman;sans-serif" w:hAnsi="Times New Roman;sans-serif"/>
          <w:b w:val="false"/>
          <w:i/>
          <w:color w:val="000000"/>
          <w:sz w:val="20"/>
        </w:rPr>
        <w:t>Financial Instruments – Credit Losses (Topic 326): Targeted Transition Relief</w:t>
      </w:r>
      <w:r>
        <w:rPr>
          <w:rFonts w:ascii="Times New Roman;sans-serif" w:hAnsi="Times New Roman;sans-serif"/>
          <w:b w:val="false"/>
          <w:color w:val="000000"/>
          <w:sz w:val="20"/>
        </w:rPr>
        <w:t xml:space="preserve">,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adoption of this guidance, the Company’s estimation of allowance for doubtful accounts related to trade receivables considers factors such as historical credit loss experience, age of receivable balances, current market conditions, and an assessment of receivables due from specific identifiable counterparties to determine whether these receivables are considered at risk or uncollectible. Additionally, the Company’s estimation of allowances on notes receivable, as applicable, incorporates historical loss information, the financial condition of loan recipients, and various other economic conditions. The adoption of this guidance did not have a significant impact on our consolidated financial statements.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have been recently issued by the Financial Accounting Standards Board (“FASB”). Pronouncements that are not applicable to the Company or where it has been determined do not have a significant impact on us have been excluded herein.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Reference Rate Reform</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U.S. GAAP to contracts, hedging 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to extend the</w:t>
      </w:r>
      <w:r>
        <w:rPr>
          <w:color w:val="000000"/>
        </w:rPr>
        <w:t xml:space="preserve"> </w:t>
      </w:r>
      <w:r>
        <w:rPr>
          <w:rFonts w:ascii="Times New Roman;sans-serif" w:hAnsi="Times New Roman;sans-serif"/>
          <w:b w:val="false"/>
          <w:color w:val="000000"/>
          <w:sz w:val="20"/>
        </w:rPr>
        <w:t xml:space="preserve">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3. REPORTABLE SEGMENTS AND 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6219" w:type="dxa"/>
        <w:jc w:val="left"/>
        <w:tblInd w:w="0" w:type="dxa"/>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721"/>
        <w:gridCol w:w="109"/>
        <w:gridCol w:w="109"/>
        <w:gridCol w:w="109"/>
        <w:gridCol w:w="109"/>
        <w:gridCol w:w="154"/>
      </w:tblGrid>
      <w:tr>
        <w:trPr/>
        <w:tc>
          <w:tcPr>
            <w:tcW w:w="1168"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related to the loyalty program we offer dispensary customers at certain locations was $604 and $672 at March 31, 2023 and December 31, 2022, respectively, and is included within “Other current liabilities” on the accompanying unaudited Condensed Consolidated Balance Sheets. The Company recorded $1,048 and $493 in allowance for doubtful accounts as of March 31, 2023 and December 31, 2022, respectively. Write-offs were not significant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The Company has determined that the acquisition discussed below is considered a business combination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and is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14, 2022, the Company acquired Marichron Pharma LLC (“Marichron”), a medical cannabis processor in Ohio. The purchase price allocation remains preliminary as the Company finalizes certain estimates of the fair value of the net assets acquired within the measurement period. Our results of operations for the three months ended March 31, 2023 include $257 of net revenue and $338 of net loss related to Marichron.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Asset Acquisitions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variable interest entity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2022 Asset Acquisitions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Story of PA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two years following the transaction date and up to an additional total of $10,000 over the course of ten years following the transaction date.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acquisition cost in respect of the Story of PA acquisition was $137,594 and was allocated to the license intangible asset acquired. The total cost consists of the equity consideration, cash consideration, Geisinger funding commitment, other liabilities related to consulting agreements, forgiveness of the previously outstanding bridge loan, transaction costs, the initial cost of the investment, and an acquisition-related deferred tax liability of $37,391 that was recorded during the fourth quarter of 2022.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funding commitment, $15,000 was paid in April 2022 and $15,000 is due in 2023 and is included within “Accounts payable and other accrued liabilities” on the unaudited Condensed Consolidated Balance Sheet at March 31, 2023. The additional $10,000 is included within “Other non-current liabilities” on the unaudited Condensed Consolidated Balance Sheet at March 31, 2023. A total of $472 due under one of the consulting agreements was paid during the three months ended March 31, 2023, and $471 remains due in June 2023 and is included within “Accounts payable and other accrued liabilities” on the unaudited Condensed Consolidated Balance Sheet at March 31, 2023.</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Ohio Patient Access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under which the Company will provide management and advisory services to OPA for a set monthly fee. The parties also entered into a working capital loan agreement under which the Company may, at its full discretion, loan OPA up to $10,000 for general working capital needs.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accompanying unaudited Condensed Consolidated Balance Sheet at March 31, 2023;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March 31, 2023 and December 31, 2022, the estimated fair value of this contingent consideration was $5,567 and $5,076, respectively, and is included within “Other non-current liabilities” on the accompanying unaudited Condensed Consolidated Balance Sheets. The $491 change in fair value during the three months ended March 31, 2023 is included within “General and administrative expenses” on the unaudited Condensed Consolidated Statement of Operations. Direct transaction expenses of $224 were incurred in the year ended December 31, 2022. The Company determined the fair value of any noncontrolling interest is </w:t>
      </w:r>
      <w:r>
        <w:rPr>
          <w:rFonts w:ascii="Times New Roman;sans-serif" w:hAnsi="Times New Roman;sans-serif"/>
          <w:b w:val="false"/>
          <w:i/>
          <w:color w:val="000000"/>
          <w:sz w:val="20"/>
        </w:rPr>
        <w:t>de minimis</w:t>
      </w:r>
      <w:r>
        <w:rPr>
          <w:rFonts w:ascii="Times New Roman;sans-serif" w:hAnsi="Times New Roman;sans-serif"/>
          <w:b w:val="false"/>
          <w:color w:val="000000"/>
          <w:sz w:val="20"/>
        </w:rPr>
        <w:t>. Refer to Note 8, “Variable Interest Entities,” for additional information regarding the Company’s VIEs.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Illinois Licenses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definitive agreements to acquire two additional licenses in Illinois. Neither of these licenses were associated with active operations at signing and the transfer of each license is subject to regulatory review and approval. The licenses acquired will be amortized in accordance with the Company’s policy once the related operations commence.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“Long-term debt, net” on the accompanying unaudited Condensed Consolidated Balance Sheet at March 31, 2023 and December 31, 2022; refer to Note 11, “Debt,” for additional information.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“Long-term, debt, net” on the accompanying unaudited Condensed Consolidated Balance Sheet at March 31, 2023 and December 31, 2022; refer to Note 11, “Debt,” 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5487" w:type="dxa"/>
        <w:jc w:val="left"/>
        <w:tblInd w:w="0" w:type="dxa"/>
        <w:tblCellMar>
          <w:top w:w="28" w:type="dxa"/>
          <w:left w:w="28" w:type="dxa"/>
          <w:bottom w:w="28" w:type="dxa"/>
          <w:right w:w="28" w:type="dxa"/>
        </w:tblCellMar>
      </w:tblPr>
      <w:tblGrid>
        <w:gridCol w:w="706"/>
        <w:gridCol w:w="621"/>
        <w:gridCol w:w="623"/>
        <w:gridCol w:w="292"/>
        <w:gridCol w:w="998"/>
        <w:gridCol w:w="150"/>
        <w:gridCol w:w="109"/>
        <w:gridCol w:w="109"/>
        <w:gridCol w:w="109"/>
        <w:gridCol w:w="344"/>
        <w:gridCol w:w="1175"/>
        <w:gridCol w:w="251"/>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98,360 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capitalized to inventory was $17,121 and $13,134 during the three months ended March 31, 2023 and 2022, respectively. At March 31, 2023 and December 31, 2022, $10,988 and $15,920, respectively, of compensation expense remained capitalized as part of inventory. The Company recognized, as a component of cost of goods sold, total write-downs of $3,942 and $2,204 during the three months ended March 31, 2023 and 2022, respectively, related to net realizable value adjustments, expired products, and obsolete packaging. These amounts are included within “Other” on the unaudited Condensed Consolidated Statements of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6. NOTES RECEIVABLE</w:t>
      </w:r>
    </w:p>
    <w:tbl>
      <w:tblPr>
        <w:tblW w:w="6280" w:type="dxa"/>
        <w:jc w:val="left"/>
        <w:tblInd w:w="0" w:type="dxa"/>
        <w:tblCellMar>
          <w:top w:w="28" w:type="dxa"/>
          <w:left w:w="28" w:type="dxa"/>
          <w:bottom w:w="28" w:type="dxa"/>
          <w:right w:w="28" w:type="dxa"/>
        </w:tblCellMar>
      </w:tblPr>
      <w:tblGrid>
        <w:gridCol w:w="994"/>
        <w:gridCol w:w="874"/>
        <w:gridCol w:w="877"/>
        <w:gridCol w:w="324"/>
        <w:gridCol w:w="948"/>
        <w:gridCol w:w="167"/>
        <w:gridCol w:w="109"/>
        <w:gridCol w:w="109"/>
        <w:gridCol w:w="109"/>
        <w:gridCol w:w="380"/>
        <w:gridCol w:w="1110"/>
        <w:gridCol w:w="279"/>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MMNY - working capital loan</w:t>
            </w:r>
            <w:r>
              <w:rPr>
                <w:rFonts w:ascii="Times New Roman;sans-serif" w:hAnsi="Times New Roman;sans-serif"/>
                <w:b w:val="false"/>
                <w:color w:val="000000"/>
                <w:sz w:val="13"/>
              </w:rPr>
              <w:t>(1)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Massachusetts Note</w:t>
            </w:r>
            <w:r>
              <w:rPr>
                <w:rFonts w:ascii="Times New Roman;sans-serif" w:hAnsi="Times New Roman;sans-serif"/>
                <w:b w:val="false"/>
                <w:color w:val="000000"/>
                <w:sz w:val="13"/>
              </w:rPr>
              <w:t>(2)</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pStyle w:val="TextBody"/>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 May 2022 the Company issued a secured promissory note to a retail dispensary license holder in Massachusetts providing up to $3,500 of funding (the “Massachusetts Note”). The Massachusetts Note accrues interest at a fixed annual rate of 11.5%. Following the opening of the borrower’s retail dispensary, which had not occurred as of March 31, 2023,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total of $4,141 is outstanding at March 31, 2023 related to a promissory note issued to the owner of a property the Company is leasing, of which $165 and $3,976 is included in “Other current assets” and “Other noncurrent assets,” respectively, on the unaudited Condensed Consolidated Balance Sheet. At December 31, 2022, $4,181 was outstanding, of which $163 and $4,018 is included in “Other current assets” and “Other noncurrent assets,” respectively, on the unaudited Condensed Consolidated Balance Sheet.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losses on notes receivable were recognized during the three months ended March 31, 2023 or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6415" w:type="dxa"/>
        <w:jc w:val="left"/>
        <w:tblInd w:w="0" w:type="dxa"/>
        <w:tblCellMar>
          <w:top w:w="28" w:type="dxa"/>
          <w:left w:w="28" w:type="dxa"/>
          <w:bottom w:w="28" w:type="dxa"/>
          <w:right w:w="28" w:type="dxa"/>
        </w:tblCellMar>
      </w:tblPr>
      <w:tblGrid>
        <w:gridCol w:w="1040"/>
        <w:gridCol w:w="916"/>
        <w:gridCol w:w="923"/>
        <w:gridCol w:w="265"/>
        <w:gridCol w:w="1038"/>
        <w:gridCol w:w="137"/>
        <w:gridCol w:w="109"/>
        <w:gridCol w:w="109"/>
        <w:gridCol w:w="109"/>
        <w:gridCol w:w="313"/>
        <w:gridCol w:w="1228"/>
        <w:gridCol w:w="228"/>
      </w:tblGrid>
      <w:tr>
        <w:trPr/>
        <w:tc>
          <w:tcPr>
            <w:tcW w:w="104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gross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280,906 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279,860 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expense was $8,146 and $5,378 during the three months ended March 31, 2023 and 2022, respectively. Total depreciation expense capitalized to inventory was $6,170 and $4,208 during the three months ended March 31, 2023 and 2022, respectively. At March 31, 2023 and December 31, 2022, $6,887 and $6,548, respectively, of depreciation expense remained capitalized as part of inventory.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equipment with a gross value of $1,480 and $1,086 as of March 31, 2023 and December 31, 2022, respectively, and accumulated amortization of $163 and $89, respectively, that the Company is renting under finance leases pursuant to a master lease agreement that was entered into in June 2022 and allows for an aggregate of $15,000 of such leases. Refer to Note 10, “Leases,” for additional information regarding our lease arrangements.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8. VARIABLE INTEREST ENTITIES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summarized financial information about the Company’s consolidated VIEs which are included in the unaudited Condensed Consolidated Balance Sheets as of March 31, 2023 and December 31, 2022 and in the unaudited Condensed Consolidated Statements of Operations for the three months ended March 31, 2023 and 2022, as applicable. These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w:t>
      </w:r>
    </w:p>
    <w:tbl>
      <w:tblPr>
        <w:tblW w:w="5982" w:type="dxa"/>
        <w:jc w:val="left"/>
        <w:tblInd w:w="0" w:type="dxa"/>
        <w:tblCellMar>
          <w:top w:w="28" w:type="dxa"/>
          <w:left w:w="28" w:type="dxa"/>
          <w:bottom w:w="28" w:type="dxa"/>
          <w:right w:w="28" w:type="dxa"/>
        </w:tblCellMar>
      </w:tblPr>
      <w:tblGrid>
        <w:gridCol w:w="728"/>
        <w:gridCol w:w="640"/>
        <w:gridCol w:w="642"/>
        <w:gridCol w:w="109"/>
        <w:gridCol w:w="109"/>
        <w:gridCol w:w="292"/>
        <w:gridCol w:w="998"/>
        <w:gridCol w:w="150"/>
        <w:gridCol w:w="109"/>
        <w:gridCol w:w="109"/>
        <w:gridCol w:w="109"/>
        <w:gridCol w:w="349"/>
        <w:gridCol w:w="1195"/>
        <w:gridCol w:w="180"/>
        <w:gridCol w:w="109"/>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5947" w:type="dxa"/>
        <w:jc w:val="left"/>
        <w:tblInd w:w="0" w:type="dxa"/>
        <w:tblCellMar>
          <w:top w:w="28" w:type="dxa"/>
          <w:left w:w="28" w:type="dxa"/>
          <w:bottom w:w="28" w:type="dxa"/>
          <w:right w:w="28" w:type="dxa"/>
        </w:tblCellMar>
      </w:tblPr>
      <w:tblGrid>
        <w:gridCol w:w="554"/>
        <w:gridCol w:w="487"/>
        <w:gridCol w:w="488"/>
        <w:gridCol w:w="109"/>
        <w:gridCol w:w="109"/>
        <w:gridCol w:w="514"/>
        <w:gridCol w:w="990"/>
        <w:gridCol w:w="265"/>
        <w:gridCol w:w="145"/>
        <w:gridCol w:w="145"/>
        <w:gridCol w:w="145"/>
        <w:gridCol w:w="307"/>
        <w:gridCol w:w="1050"/>
        <w:gridCol w:w="158"/>
        <w:gridCol w:w="109"/>
        <w:gridCol w:w="109"/>
        <w:gridCol w:w="109"/>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Ascend Illinois</w:t>
            </w:r>
            <w:r>
              <w:rPr>
                <w:rFonts w:ascii="Times New Roman;sans-serif" w:hAnsi="Times New Roman;sans-serif"/>
                <w:b/>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December 2022, following regulatory approvals for the title transfer of certain licenses, Ascend Illinois (including its subsidiaries) is wholly-owned by Ascend Wellness Holdings, Inc. and therefore is no longer considered a VIE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9. INTANGIBLE ASSETS AND GOODWILL</w:t>
      </w:r>
    </w:p>
    <w:tbl>
      <w:tblPr>
        <w:tblW w:w="5891" w:type="dxa"/>
        <w:jc w:val="left"/>
        <w:tblInd w:w="0" w:type="dxa"/>
        <w:tblCellMar>
          <w:top w:w="28" w:type="dxa"/>
          <w:left w:w="28" w:type="dxa"/>
          <w:bottom w:w="28" w:type="dxa"/>
          <w:right w:w="28" w:type="dxa"/>
        </w:tblCellMar>
      </w:tblPr>
      <w:tblGrid>
        <w:gridCol w:w="853"/>
        <w:gridCol w:w="750"/>
        <w:gridCol w:w="752"/>
        <w:gridCol w:w="265"/>
        <w:gridCol w:w="1038"/>
        <w:gridCol w:w="137"/>
        <w:gridCol w:w="109"/>
        <w:gridCol w:w="109"/>
        <w:gridCol w:w="109"/>
        <w:gridCol w:w="313"/>
        <w:gridCol w:w="1228"/>
        <w:gridCol w:w="228"/>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226,919 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(18,636)</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(13,304)</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(32,320)</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214,942 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Goodwill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pPr>
      <w:r>
        <w:rPr>
          <w:rFonts w:ascii="Times New Roman;sans-serif" w:hAnsi="Times New Roman;sans-serif"/>
          <w:b w:val="false"/>
          <w:color w:val="000000"/>
          <w:sz w:val="20"/>
        </w:rPr>
        <w:t>Amortization expense related to intangible assets was $6,151 and $1,970 during the three</w:t>
      </w:r>
      <w:r>
        <w:rPr>
          <w:color w:val="070707"/>
        </w:rPr>
        <w:t xml:space="preserve"> </w:t>
      </w:r>
      <w:r>
        <w:rPr>
          <w:rFonts w:ascii="Times New Roman;sans-serif" w:hAnsi="Times New Roman;sans-serif"/>
          <w:b w:val="false"/>
          <w:color w:val="070707"/>
          <w:sz w:val="20"/>
        </w:rPr>
        <w:t xml:space="preserve">months ended March 31, 2023 and 2022, respectively. Total amortization expense capitalized to inventory was $735 and $408 during the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 xml:space="preserve">months ended March 31, 2023 and 2022, respectively. </w:t>
      </w:r>
      <w:r>
        <w:rPr>
          <w:rFonts w:ascii="Times New Roman;sans-serif" w:hAnsi="Times New Roman;sans-serif"/>
          <w:b w:val="false"/>
          <w:color w:val="000000"/>
          <w:sz w:val="20"/>
        </w:rPr>
        <w:t xml:space="preserve">At March 31, 2023 and December 31, 2022, $1,335 and $1,101, respectively, of amortization expense remained capitalized as part of inventory. </w:t>
      </w:r>
    </w:p>
    <w:p>
      <w:pPr>
        <w:pStyle w:val="TextBody"/>
        <w:spacing w:lineRule="auto" w:line="288" w:before="0" w:after="180"/>
        <w:ind w:left="0" w:right="0" w:firstLine="720"/>
        <w:jc w:val="both"/>
        <w:rPr/>
      </w:pPr>
      <w:r>
        <w:rPr>
          <w:rFonts w:ascii="Times New Roman;sans-serif" w:hAnsi="Times New Roman;sans-serif"/>
          <w:b w:val="false"/>
          <w:color w:val="070707"/>
          <w:sz w:val="20"/>
        </w:rPr>
        <w:t xml:space="preserve">No impairment indicators were noted during the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months ended March 31, 2023 or 2022 and, as such, w</w:t>
      </w:r>
      <w:r>
        <w:rPr>
          <w:rFonts w:ascii="Times New Roman;sans-serif" w:hAnsi="Times New Roman;sans-serif"/>
          <w:b w:val="false"/>
          <w:color w:val="000000"/>
          <w:sz w:val="20"/>
        </w:rPr>
        <w:t xml:space="preserve">e did not record any impairment charges during either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land, buildings, equipment, and other capital assets which it uses for corporate purposes and the production and sale of cannabis products with terms generally ranging from 1 to 20 years.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lease liabilities and their classification on our unaudited Condensed Consolidated Balance Sheets were as follows:</w:t>
      </w:r>
    </w:p>
    <w:tbl>
      <w:tblPr>
        <w:tblW w:w="9243" w:type="dxa"/>
        <w:jc w:val="left"/>
        <w:tblInd w:w="0" w:type="dxa"/>
        <w:tblCellMar>
          <w:top w:w="28" w:type="dxa"/>
          <w:left w:w="28" w:type="dxa"/>
          <w:bottom w:w="28" w:type="dxa"/>
          <w:right w:w="28" w:type="dxa"/>
        </w:tblCellMar>
      </w:tblPr>
      <w:tblGrid>
        <w:gridCol w:w="686"/>
        <w:gridCol w:w="601"/>
        <w:gridCol w:w="602"/>
        <w:gridCol w:w="109"/>
        <w:gridCol w:w="109"/>
        <w:gridCol w:w="109"/>
        <w:gridCol w:w="1054"/>
        <w:gridCol w:w="1054"/>
        <w:gridCol w:w="1056"/>
        <w:gridCol w:w="109"/>
        <w:gridCol w:w="109"/>
        <w:gridCol w:w="109"/>
        <w:gridCol w:w="265"/>
        <w:gridCol w:w="1038"/>
        <w:gridCol w:w="137"/>
        <w:gridCol w:w="109"/>
        <w:gridCol w:w="109"/>
        <w:gridCol w:w="109"/>
        <w:gridCol w:w="313"/>
        <w:gridCol w:w="1228"/>
        <w:gridCol w:w="228"/>
      </w:tblGrid>
      <w:tr>
        <w:trPr/>
        <w:tc>
          <w:tcPr>
            <w:tcW w:w="68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107,367 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242,888 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246,897 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and classification within the unaudited Condensed Consolidated Statements of Operations were as follows:</w:t>
      </w:r>
    </w:p>
    <w:tbl>
      <w:tblPr>
        <w:tblW w:w="5770" w:type="dxa"/>
        <w:jc w:val="left"/>
        <w:tblInd w:w="0" w:type="dxa"/>
        <w:tblCellMar>
          <w:top w:w="28" w:type="dxa"/>
          <w:left w:w="28" w:type="dxa"/>
          <w:bottom w:w="28" w:type="dxa"/>
          <w:right w:w="28" w:type="dxa"/>
        </w:tblCellMar>
      </w:tblPr>
      <w:tblGrid>
        <w:gridCol w:w="1119"/>
        <w:gridCol w:w="985"/>
        <w:gridCol w:w="986"/>
        <w:gridCol w:w="211"/>
        <w:gridCol w:w="616"/>
        <w:gridCol w:w="109"/>
        <w:gridCol w:w="109"/>
        <w:gridCol w:w="109"/>
        <w:gridCol w:w="109"/>
        <w:gridCol w:w="211"/>
        <w:gridCol w:w="616"/>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Amortization of leased assets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as a component of depreciation expense within “General and administrative expenses” on the accompanying unaudited Condensed Consolidated Statements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and December 31, 2022, $4,305 and $6,660, respectively, of lease costs remained capitalized in inventory.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short-term and variable lease costs:</w:t>
      </w:r>
    </w:p>
    <w:tbl>
      <w:tblPr>
        <w:tblW w:w="6055" w:type="dxa"/>
        <w:jc w:val="left"/>
        <w:tblInd w:w="0" w:type="dxa"/>
        <w:tblCellMar>
          <w:top w:w="28" w:type="dxa"/>
          <w:left w:w="28" w:type="dxa"/>
          <w:bottom w:w="28" w:type="dxa"/>
          <w:right w:w="28" w:type="dxa"/>
        </w:tblCellMar>
      </w:tblPr>
      <w:tblGrid>
        <w:gridCol w:w="1222"/>
        <w:gridCol w:w="1075"/>
        <w:gridCol w:w="1078"/>
        <w:gridCol w:w="211"/>
        <w:gridCol w:w="616"/>
        <w:gridCol w:w="109"/>
        <w:gridCol w:w="109"/>
        <w:gridCol w:w="109"/>
        <w:gridCol w:w="109"/>
        <w:gridCol w:w="211"/>
        <w:gridCol w:w="616"/>
        <w:gridCol w:w="109"/>
        <w:gridCol w:w="109"/>
        <w:gridCol w:w="109"/>
        <w:gridCol w:w="109"/>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generated during the three months ended March 31, 2023 and 2022 was immaterial.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supplemental cash and non-cash information related to our leases:</w:t>
      </w:r>
    </w:p>
    <w:tbl>
      <w:tblPr>
        <w:tblW w:w="8586" w:type="dxa"/>
        <w:jc w:val="left"/>
        <w:tblInd w:w="0" w:type="dxa"/>
        <w:tblCellMar>
          <w:top w:w="28" w:type="dxa"/>
          <w:left w:w="28" w:type="dxa"/>
          <w:bottom w:w="28" w:type="dxa"/>
          <w:right w:w="28" w:type="dxa"/>
        </w:tblCellMar>
      </w:tblPr>
      <w:tblGrid>
        <w:gridCol w:w="2100"/>
        <w:gridCol w:w="1845"/>
        <w:gridCol w:w="1860"/>
        <w:gridCol w:w="109"/>
        <w:gridCol w:w="109"/>
        <w:gridCol w:w="109"/>
        <w:gridCol w:w="211"/>
        <w:gridCol w:w="721"/>
        <w:gridCol w:w="109"/>
        <w:gridCol w:w="109"/>
        <w:gridCol w:w="109"/>
        <w:gridCol w:w="109"/>
        <w:gridCol w:w="211"/>
        <w:gridCol w:w="721"/>
        <w:gridCol w:w="154"/>
      </w:tblGrid>
      <w:tr>
        <w:trPr/>
        <w:tc>
          <w:tcPr>
            <w:tcW w:w="210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4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remaining lease term and discount rate:</w:t>
      </w:r>
    </w:p>
    <w:tbl>
      <w:tblPr>
        <w:tblW w:w="7552" w:type="dxa"/>
        <w:jc w:val="left"/>
        <w:tblInd w:w="0" w:type="dxa"/>
        <w:tblCellMar>
          <w:top w:w="28" w:type="dxa"/>
          <w:left w:w="28" w:type="dxa"/>
          <w:bottom w:w="28" w:type="dxa"/>
          <w:right w:w="28" w:type="dxa"/>
        </w:tblCellMar>
      </w:tblPr>
      <w:tblGrid>
        <w:gridCol w:w="1337"/>
        <w:gridCol w:w="1174"/>
        <w:gridCol w:w="1179"/>
        <w:gridCol w:w="109"/>
        <w:gridCol w:w="109"/>
        <w:gridCol w:w="109"/>
        <w:gridCol w:w="319"/>
        <w:gridCol w:w="319"/>
        <w:gridCol w:w="801"/>
        <w:gridCol w:w="109"/>
        <w:gridCol w:w="109"/>
        <w:gridCol w:w="109"/>
        <w:gridCol w:w="360"/>
        <w:gridCol w:w="360"/>
        <w:gridCol w:w="1049"/>
      </w:tblGrid>
      <w:tr>
        <w:trPr/>
        <w:tc>
          <w:tcPr>
            <w:tcW w:w="1337"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March 31, 2023 are as follows:</w:t>
      </w:r>
    </w:p>
    <w:tbl>
      <w:tblPr>
        <w:tblW w:w="8029" w:type="dxa"/>
        <w:jc w:val="left"/>
        <w:tblInd w:w="0" w:type="dxa"/>
        <w:tblCellMar>
          <w:top w:w="28" w:type="dxa"/>
          <w:left w:w="28" w:type="dxa"/>
          <w:bottom w:w="28" w:type="dxa"/>
          <w:right w:w="28" w:type="dxa"/>
        </w:tblCellMar>
      </w:tblPr>
      <w:tblGrid>
        <w:gridCol w:w="1005"/>
        <w:gridCol w:w="884"/>
        <w:gridCol w:w="885"/>
        <w:gridCol w:w="447"/>
        <w:gridCol w:w="1752"/>
        <w:gridCol w:w="231"/>
        <w:gridCol w:w="109"/>
        <w:gridCol w:w="109"/>
        <w:gridCol w:w="109"/>
        <w:gridCol w:w="504"/>
        <w:gridCol w:w="1470"/>
        <w:gridCol w:w="261"/>
        <w:gridCol w:w="109"/>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38,173 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39,885 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483,648 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419,162 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245,707 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entered into operating lease arrangements which are effective for future periods. The total amount of ROU lease assets and lease liabilities related to these arrangements is approximately $1,900.</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Lease Amendments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received a total of $1,510 under the capital expenditure allowance associated with two leases in Pennsylvania that was recorded as a tenant improvement allowance, which, based on the modified lease terms, resulted in $825 of additional lease liabilities, a reduction of $243 to the ROU asset, and a net gain of $442 during the three months ended March 31, 2023, which is included in “General and administrative expenses” on the unaudited Condensed Consolidated Statement of Operations.</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11. DEBT</w:t>
      </w:r>
    </w:p>
    <w:tbl>
      <w:tblPr>
        <w:tblW w:w="7120" w:type="dxa"/>
        <w:jc w:val="left"/>
        <w:tblInd w:w="0" w:type="dxa"/>
        <w:tblCellMar>
          <w:top w:w="28" w:type="dxa"/>
          <w:left w:w="28" w:type="dxa"/>
          <w:bottom w:w="28" w:type="dxa"/>
          <w:right w:w="28" w:type="dxa"/>
        </w:tblCellMar>
      </w:tblPr>
      <w:tblGrid>
        <w:gridCol w:w="1299"/>
        <w:gridCol w:w="1141"/>
        <w:gridCol w:w="1144"/>
        <w:gridCol w:w="265"/>
        <w:gridCol w:w="1038"/>
        <w:gridCol w:w="137"/>
        <w:gridCol w:w="109"/>
        <w:gridCol w:w="109"/>
        <w:gridCol w:w="109"/>
        <w:gridCol w:w="313"/>
        <w:gridCol w:w="1228"/>
        <w:gridCol w:w="228"/>
      </w:tblGrid>
      <w:tr>
        <w:trPr/>
        <w:tc>
          <w:tcPr>
            <w:tcW w:w="12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2021 Credit Facility</w:t>
            </w:r>
            <w:r>
              <w:rPr>
                <w:rFonts w:ascii="Times New Roman;sans-serif" w:hAnsi="Times New Roman;sans-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Financing Agreement</w:t>
            </w:r>
            <w:r>
              <w:rPr>
                <w:rFonts w:ascii="Times New Roman;sans-serif" w:hAnsi="Times New Roman;sans-serif"/>
                <w:b w:val="false"/>
                <w:color w:val="000000"/>
                <w:sz w:val="13"/>
              </w:rPr>
              <w:t>(3)</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Finance liabilities</w:t>
            </w:r>
            <w:r>
              <w:rPr>
                <w:rFonts w:ascii="Times New Roman;sans-serif" w:hAnsi="Times New Roman;sans-serif"/>
                <w:b w:val="false"/>
                <w:color w:val="000000"/>
                <w:sz w:val="13"/>
              </w:rPr>
              <w:t>(4)</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333,414 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debt, net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321,417 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319,297 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second quarter of 2022, which was comprised of the write-off of $337 related to the lender’s initial term loan and $1,843 related to the lender’s new loan, which included the estimated fair value of the warrants issued to the lender. </w:t>
      </w:r>
    </w:p>
    <w:p>
      <w:pPr>
        <w:pStyle w:val="TextBody"/>
        <w:spacing w:before="0" w:after="12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March 31, 2023.</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 </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Sellers’ Notes consist of amounts owed for acquisitions or other purchases. During the three months ended March 31, 2023, we repaid $8,000 to the former owners of one entity that we previously acquired, which is included in “Current portion of debt, net” on the unaudited Condensed Consolidated Balance Sheet at December 31, 2022. Additionally, as further described in Note 4, “Acquisitions,” a total of $8,100 of sellers’ notes related to the acquisition of two additional licenses in Illinois is included in “Long-term debt, net” at each of March 31, 2023 and December 31, 2022, and $8,694 and $8,366, respectively, related to the OPA acquisition are included in Long-term debt, net at March 31, 2023 and December 31, 2022. The $11,000 OPA sellers’ note was recorded net of a discount of $3,010 that was calculated utilizing the Company’s estimated incremental borrowing rate based on the anticipated close date and is being accreted to interest expense over the expected term.</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as of March 31, 2023 and December 31, 2022, $2,355 and $3,140, respectively, remains due under the purchase of a previous non-controlling interest and are included in “Current portion of debt, net” on the unaudited Condensed Consolidated Balance Sheet at each date.</w:t>
      </w:r>
    </w:p>
    <w:p>
      <w:pPr>
        <w:pStyle w:val="TextBody"/>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In December 2022, the Company received $19,364 pursuant to a financing agreement with a third-party lender (the “Financing Agreement”), which is included in “Long-term debt, net” at March 31, 2023 and December 31, 2022. The Company assigned to the lender its interests in an employee retention tax credit claim (the “ERTC Claim”) that it submitted in November 2022 for approximately $22,800.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or other full repayment. The Company determined the ERTC Claim did not meet the criteria to record as a receivable as of March 31, 2023 because of the uncertain nature of the ERTC Claim. </w:t>
      </w:r>
    </w:p>
    <w:p>
      <w:pPr>
        <w:pStyle w:val="TextBody"/>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Finance liabilities related to failed sale leaseback transactions. See Note 10, “Leases,” for additional information.</w:t>
      </w:r>
    </w:p>
    <w:p>
      <w:pPr>
        <w:pStyle w:val="TextBody"/>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Liabilities related to finance leases. See Note 10, “Leases,” for additional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Debt Maturities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repaid $8,000 of sellers’ notes related to one previous acquisition and $786 of sellers’ notes related to the former owners of a previous non-controlling interest.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following cash payments are required under our debt arrangements: </w:t>
      </w:r>
    </w:p>
    <w:tbl>
      <w:tblPr>
        <w:tblW w:w="8548" w:type="dxa"/>
        <w:jc w:val="left"/>
        <w:tblInd w:w="0" w:type="dxa"/>
        <w:tblCellMar>
          <w:top w:w="28" w:type="dxa"/>
          <w:left w:w="28" w:type="dxa"/>
          <w:bottom w:w="28" w:type="dxa"/>
          <w:right w:w="28" w:type="dxa"/>
        </w:tblCellMar>
      </w:tblPr>
      <w:tblGrid>
        <w:gridCol w:w="651"/>
        <w:gridCol w:w="573"/>
        <w:gridCol w:w="575"/>
        <w:gridCol w:w="109"/>
        <w:gridCol w:w="109"/>
        <w:gridCol w:w="109"/>
        <w:gridCol w:w="387"/>
        <w:gridCol w:w="1134"/>
        <w:gridCol w:w="203"/>
        <w:gridCol w:w="109"/>
        <w:gridCol w:w="109"/>
        <w:gridCol w:w="109"/>
        <w:gridCol w:w="211"/>
        <w:gridCol w:w="616"/>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note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Certain cash payments include an interest accretion component. The timing of certain payments may vary based on regulatory approval of the underlying transactions.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during the three months ended March 31, 2023 and 2022 consisted of the following:</w:t>
      </w:r>
    </w:p>
    <w:tbl>
      <w:tblPr>
        <w:tblW w:w="5470" w:type="dxa"/>
        <w:jc w:val="left"/>
        <w:tblInd w:w="0" w:type="dxa"/>
        <w:tblCellMar>
          <w:top w:w="28" w:type="dxa"/>
          <w:left w:w="28" w:type="dxa"/>
          <w:bottom w:w="28" w:type="dxa"/>
          <w:right w:w="28" w:type="dxa"/>
        </w:tblCellMar>
      </w:tblPr>
      <w:tblGrid>
        <w:gridCol w:w="1011"/>
        <w:gridCol w:w="887"/>
        <w:gridCol w:w="892"/>
        <w:gridCol w:w="211"/>
        <w:gridCol w:w="616"/>
        <w:gridCol w:w="109"/>
        <w:gridCol w:w="109"/>
        <w:gridCol w:w="109"/>
        <w:gridCol w:w="109"/>
        <w:gridCol w:w="211"/>
        <w:gridCol w:w="616"/>
        <w:gridCol w:w="109"/>
        <w:gridCol w:w="109"/>
        <w:gridCol w:w="109"/>
        <w:gridCol w:w="109"/>
        <w:gridCol w:w="154"/>
      </w:tblGrid>
      <w:tr>
        <w:trPr/>
        <w:tc>
          <w:tcPr>
            <w:tcW w:w="101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on financing liabilities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Interest on financing liability related to failed sale leaseback transactions. See Note 10, “Leases,” for additional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shares of Class A common stock and Class B common stock outstanding as of March 31, 2023 and December 31, 2022:</w:t>
      </w:r>
    </w:p>
    <w:tbl>
      <w:tblPr>
        <w:tblW w:w="6280" w:type="dxa"/>
        <w:jc w:val="left"/>
        <w:tblInd w:w="0" w:type="dxa"/>
        <w:tblCellMar>
          <w:top w:w="28" w:type="dxa"/>
          <w:left w:w="28" w:type="dxa"/>
          <w:bottom w:w="28" w:type="dxa"/>
          <w:right w:w="28" w:type="dxa"/>
        </w:tblCellMar>
      </w:tblPr>
      <w:tblGrid>
        <w:gridCol w:w="994"/>
        <w:gridCol w:w="874"/>
        <w:gridCol w:w="877"/>
        <w:gridCol w:w="479"/>
        <w:gridCol w:w="479"/>
        <w:gridCol w:w="481"/>
        <w:gridCol w:w="109"/>
        <w:gridCol w:w="109"/>
        <w:gridCol w:w="109"/>
        <w:gridCol w:w="517"/>
        <w:gridCol w:w="517"/>
        <w:gridCol w:w="735"/>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189,501 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187,999 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4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188,064</w:t>
            </w:r>
          </w:p>
        </w:tc>
      </w:tr>
    </w:tbl>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activity during the three months ended March 31, 2023:</w:t>
      </w:r>
    </w:p>
    <w:tbl>
      <w:tblPr>
        <w:tblW w:w="10205" w:type="dxa"/>
        <w:jc w:val="left"/>
        <w:tblInd w:w="0" w:type="dxa"/>
        <w:tblCellMar>
          <w:top w:w="28" w:type="dxa"/>
          <w:left w:w="28" w:type="dxa"/>
          <w:bottom w:w="28" w:type="dxa"/>
          <w:right w:w="28" w:type="dxa"/>
        </w:tblCellMar>
      </w:tblPr>
      <w:tblGrid>
        <w:gridCol w:w="608"/>
        <w:gridCol w:w="535"/>
        <w:gridCol w:w="536"/>
        <w:gridCol w:w="109"/>
        <w:gridCol w:w="109"/>
        <w:gridCol w:w="109"/>
        <w:gridCol w:w="408"/>
        <w:gridCol w:w="408"/>
        <w:gridCol w:w="410"/>
        <w:gridCol w:w="109"/>
        <w:gridCol w:w="109"/>
        <w:gridCol w:w="109"/>
        <w:gridCol w:w="531"/>
        <w:gridCol w:w="1288"/>
        <w:gridCol w:w="276"/>
        <w:gridCol w:w="109"/>
        <w:gridCol w:w="109"/>
        <w:gridCol w:w="109"/>
        <w:gridCol w:w="813"/>
        <w:gridCol w:w="813"/>
        <w:gridCol w:w="815"/>
        <w:gridCol w:w="109"/>
        <w:gridCol w:w="109"/>
        <w:gridCol w:w="109"/>
        <w:gridCol w:w="395"/>
        <w:gridCol w:w="761"/>
        <w:gridCol w:w="300"/>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Warrants</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Exercise Period</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(1)</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Outstanding, March 31, 2023</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4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Based on the amount by which the closing market price of our Class A common stock exceeds the exercise price on each date indicated. </w:t>
      </w:r>
    </w:p>
    <w:p>
      <w:pPr>
        <w:pStyle w:val="TextBody"/>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warrants outstanding as of March 31, 2023 are equity-classified instruments, are subject to customary anti-dilution adjustments, and are stand-alone instruments. The fair value per warrant is calculated at issuance using a Black-Scholes model and ranged from $0.02 to $0.84. Significant assumptions used in the calculations included volatility ranging from 70.0% to 108.4% and risk-free rates ranging from 0.17% to 4.20%. No warrants were exercised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13. EQUITY-BASED COMPENSATION EXPENSE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issued under the plan as of March 31, 2023. The Awards generally vest over two or three years. The estimated fair value of the Awards at issuance is recognized as compensation expense over the related vesting period.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common shares activity during the three months ended March 31, 2023:</w:t>
      </w:r>
    </w:p>
    <w:tbl>
      <w:tblPr>
        <w:tblW w:w="4993" w:type="dxa"/>
        <w:jc w:val="left"/>
        <w:tblInd w:w="0" w:type="dxa"/>
        <w:tblCellMar>
          <w:top w:w="28" w:type="dxa"/>
          <w:left w:w="28" w:type="dxa"/>
          <w:bottom w:w="28" w:type="dxa"/>
          <w:right w:w="28" w:type="dxa"/>
        </w:tblCellMar>
      </w:tblPr>
      <w:tblGrid>
        <w:gridCol w:w="923"/>
        <w:gridCol w:w="812"/>
        <w:gridCol w:w="814"/>
        <w:gridCol w:w="714"/>
        <w:gridCol w:w="714"/>
        <w:gridCol w:w="1016"/>
      </w:tblGrid>
      <w:tr>
        <w:trPr/>
        <w:tc>
          <w:tcPr>
            <w:tcW w:w="92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Common Shares</w:t>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March 31, 2023</w:t>
            </w:r>
          </w:p>
        </w:tc>
        <w:tc>
          <w:tcPr>
            <w:tcW w:w="14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total unrecognized compensation cost related to the restricted common shares was $17, which is expected to be recognized over a weighted-average remaining period of 0.5 years.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As of March 31, 2023, there were 4,242 shares of Class A common stock available for grant for future equity-based compensation awards under the 2021 Plan. Activity related to awards issued under the 2021 Plan is further described below. As of March 31, 2023, no SAR Awards and no RSAs have been granted under the 2021 Plan.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2023, the Company’s board of directors unanimously approved, subject to stockholder approval, an amendment to the 2021 Plan (the “Amendment”) to increase the maximum number of shares of Class A common stock available for issuance under the 2021 Plan to an amount not to exceed 10% of the total number of issued and outstanding shares of Class A common stock, on a non-diluted basis, as constituted on the grant date of an award pursuant to the 2021 Plan. On May 5, 2023, the stockholders of the Company voted to approve the Amendment.</w:t>
      </w:r>
    </w:p>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three months ended March 31, 2023:</w:t>
      </w:r>
    </w:p>
    <w:tbl>
      <w:tblPr>
        <w:tblW w:w="10205" w:type="dxa"/>
        <w:jc w:val="left"/>
        <w:tblInd w:w="0" w:type="dxa"/>
        <w:tblCellMar>
          <w:top w:w="28" w:type="dxa"/>
          <w:left w:w="28" w:type="dxa"/>
          <w:bottom w:w="28" w:type="dxa"/>
          <w:right w:w="28" w:type="dxa"/>
        </w:tblCellMar>
      </w:tblPr>
      <w:tblGrid>
        <w:gridCol w:w="759"/>
        <w:gridCol w:w="487"/>
        <w:gridCol w:w="491"/>
        <w:gridCol w:w="109"/>
        <w:gridCol w:w="109"/>
        <w:gridCol w:w="109"/>
        <w:gridCol w:w="360"/>
        <w:gridCol w:w="360"/>
        <w:gridCol w:w="362"/>
        <w:gridCol w:w="109"/>
        <w:gridCol w:w="109"/>
        <w:gridCol w:w="109"/>
        <w:gridCol w:w="531"/>
        <w:gridCol w:w="1289"/>
        <w:gridCol w:w="277"/>
        <w:gridCol w:w="109"/>
        <w:gridCol w:w="109"/>
        <w:gridCol w:w="109"/>
        <w:gridCol w:w="825"/>
        <w:gridCol w:w="825"/>
        <w:gridCol w:w="826"/>
        <w:gridCol w:w="109"/>
        <w:gridCol w:w="109"/>
        <w:gridCol w:w="109"/>
        <w:gridCol w:w="409"/>
        <w:gridCol w:w="788"/>
        <w:gridCol w:w="308"/>
      </w:tblGrid>
      <w:tr>
        <w:trPr/>
        <w:tc>
          <w:tcPr>
            <w:tcW w:w="75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1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r>
      <w:tr>
        <w:trPr/>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Contractual Life </w:t>
            </w:r>
          </w:p>
          <w:p>
            <w:pPr>
              <w:pStyle w:val="TableContents"/>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17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1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Based on the amount by which the closing market price of our Class A common stock exceeds the exercise price on each date indicated.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and no options were granted during the three months ended March 31, 2023. Total unrecognized stock-based compensation expense related to unvested options was $2,441 as of March 31, 2023, which is expected to be recognized over a weighted-average remaining period of 3.1 years.</w:t>
      </w:r>
    </w:p>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during the three months ended March 31, 2023:</w:t>
      </w:r>
    </w:p>
    <w:tbl>
      <w:tblPr>
        <w:tblW w:w="9056" w:type="dxa"/>
        <w:jc w:val="left"/>
        <w:tblInd w:w="0" w:type="dxa"/>
        <w:tblCellMar>
          <w:top w:w="28" w:type="dxa"/>
          <w:left w:w="28" w:type="dxa"/>
          <w:bottom w:w="28" w:type="dxa"/>
          <w:right w:w="28" w:type="dxa"/>
        </w:tblCellMar>
      </w:tblPr>
      <w:tblGrid>
        <w:gridCol w:w="923"/>
        <w:gridCol w:w="811"/>
        <w:gridCol w:w="816"/>
        <w:gridCol w:w="539"/>
        <w:gridCol w:w="539"/>
        <w:gridCol w:w="541"/>
        <w:gridCol w:w="109"/>
        <w:gridCol w:w="109"/>
        <w:gridCol w:w="109"/>
        <w:gridCol w:w="1097"/>
        <w:gridCol w:w="2659"/>
        <w:gridCol w:w="804"/>
      </w:tblGrid>
      <w:tr>
        <w:trPr/>
        <w:tc>
          <w:tcPr>
            <w:tcW w:w="9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60"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60"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60"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8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8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8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March 31, 2023</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521 vested shares that were withheld to cover tax obligations and were subsequently cancelled.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total unrecognized compensation cost related to the RSUs was $35,939, which is expected to be recognized over a weighted-average remaining period of 2.1 years. </w:t>
      </w:r>
    </w:p>
    <w:p>
      <w:pPr>
        <w:pStyle w:val="TextBody"/>
        <w:spacing w:before="0" w:after="18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Compensation Expense by Type of Award</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equity-based compensation expense by type of award for the periods presented:</w:t>
      </w:r>
    </w:p>
    <w:tbl>
      <w:tblPr>
        <w:tblW w:w="6295" w:type="dxa"/>
        <w:jc w:val="left"/>
        <w:tblInd w:w="0" w:type="dxa"/>
        <w:tblCellMar>
          <w:top w:w="28" w:type="dxa"/>
          <w:left w:w="28" w:type="dxa"/>
          <w:bottom w:w="28" w:type="dxa"/>
          <w:right w:w="28" w:type="dxa"/>
        </w:tblCellMar>
      </w:tblPr>
      <w:tblGrid>
        <w:gridCol w:w="1310"/>
        <w:gridCol w:w="1151"/>
        <w:gridCol w:w="1154"/>
        <w:gridCol w:w="211"/>
        <w:gridCol w:w="616"/>
        <w:gridCol w:w="109"/>
        <w:gridCol w:w="109"/>
        <w:gridCol w:w="109"/>
        <w:gridCol w:w="109"/>
        <w:gridCol w:w="211"/>
        <w:gridCol w:w="616"/>
        <w:gridCol w:w="109"/>
        <w:gridCol w:w="109"/>
        <w:gridCol w:w="109"/>
        <w:gridCol w:w="109"/>
        <w:gridCol w:w="154"/>
      </w:tblGrid>
      <w:tr>
        <w:trPr/>
        <w:tc>
          <w:tcPr>
            <w:tcW w:w="1310"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Shares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equity-based compensation expense, $1,600 and $3,211 was capitalized to inventory during the three months ended March 31, 2023 and 2022, respectively. As of March 31, 2023 and December 31, 2022, $2,086 and $536, respectively, remains capitalized in inventory. During the three months ended March 31, 2023 and 2022, we recognized $2,955 and $2,504, respectively, within “General and administrative expenses” on the unaudited Condensed Consolidated Statements of Operations and we recognized $50 and $3,995, respectively, within “Cost of goods sold.”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14. INCOME TAXES</w:t>
      </w:r>
    </w:p>
    <w:tbl>
      <w:tblPr>
        <w:tblW w:w="6003" w:type="dxa"/>
        <w:jc w:val="left"/>
        <w:tblInd w:w="0" w:type="dxa"/>
        <w:tblCellMar>
          <w:top w:w="28" w:type="dxa"/>
          <w:left w:w="28" w:type="dxa"/>
          <w:bottom w:w="28" w:type="dxa"/>
          <w:right w:w="28" w:type="dxa"/>
        </w:tblCellMar>
      </w:tblPr>
      <w:tblGrid>
        <w:gridCol w:w="983"/>
        <w:gridCol w:w="863"/>
        <w:gridCol w:w="868"/>
        <w:gridCol w:w="211"/>
        <w:gridCol w:w="721"/>
        <w:gridCol w:w="271"/>
        <w:gridCol w:w="109"/>
        <w:gridCol w:w="109"/>
        <w:gridCol w:w="109"/>
        <w:gridCol w:w="211"/>
        <w:gridCol w:w="796"/>
        <w:gridCol w:w="271"/>
        <w:gridCol w:w="109"/>
        <w:gridCol w:w="109"/>
        <w:gridCol w:w="109"/>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on gross profit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As such, the effective tax rate for the three months ended March 31, 2023 varies from the effective tax rate for the three months ended March 31, 2022 due to the tax-effected change in nondeductible expenses under IRC Section 280E as a proportion of pre-tax loss during the period. </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future annual commitments, other than related to leases and debt, which are disclosed in Notes 10 and 11, respectively, and certain payments related to acquisitions, as disclosed in Note 4.</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and Other Matters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2023 in all material respects, cannabis regulations continue to evolve and are subject to differing interpretations, and accordingly, the Company may be subject to regulatory fines, penalties, or restrictions in the future.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2023 there were no pending or threatened lawsuits that could reasonably be expected to have a material effect on our consolidated results of operations, other than as disclosed below.</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 xml:space="preserve">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MMNY, which investment would also be used to repay MMNY’s senior secured lender, if adult-use cannabis sales commenced in MMNY’s dispensaries.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actions, including any actions that would have a material adverse effect on MedMen’s NY business. On March 27, 2023, the parties entered a further stipulation that would modify the January 21, 2022 Stipulation and Order, but that modification has not been approved by the Court. Accordingly, the Stipulation and Order remains in place until trial. The Stipulation and Order also set an initial schedule for the litigation.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cannot make or provide the representations and warranties MedMen would have been required to make as part of the contemplated transactions, the Company determined that it no longer intends to consummate the contemplated transactions.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The parties are awaiting a decision from the Court on the motion to dismiss.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March 31, 2023 and is included within “Other current assets” on the unaudited Condensed Consolidated Balance Sheets at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related party transactions during the three months ended March 31, 2023, other than as disclosed in Note 6, “Notes Receivable.”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17. SUPPLEMENTAL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other current assets:</w:t>
      </w:r>
    </w:p>
    <w:tbl>
      <w:tblPr>
        <w:tblW w:w="6219" w:type="dxa"/>
        <w:jc w:val="left"/>
        <w:tblInd w:w="0" w:type="dxa"/>
        <w:tblCellMar>
          <w:top w:w="28" w:type="dxa"/>
          <w:left w:w="28" w:type="dxa"/>
          <w:bottom w:w="28" w:type="dxa"/>
          <w:right w:w="28" w:type="dxa"/>
        </w:tblCellMar>
      </w:tblPr>
      <w:tblGrid>
        <w:gridCol w:w="972"/>
        <w:gridCol w:w="854"/>
        <w:gridCol w:w="858"/>
        <w:gridCol w:w="324"/>
        <w:gridCol w:w="948"/>
        <w:gridCol w:w="167"/>
        <w:gridCol w:w="109"/>
        <w:gridCol w:w="109"/>
        <w:gridCol w:w="109"/>
        <w:gridCol w:w="380"/>
        <w:gridCol w:w="1110"/>
        <w:gridCol w:w="279"/>
      </w:tblGrid>
      <w:tr>
        <w:trPr/>
        <w:tc>
          <w:tcPr>
            <w:tcW w:w="97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deposits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accounts payable and accrued liabilities:</w:t>
      </w:r>
    </w:p>
    <w:tbl>
      <w:tblPr>
        <w:tblW w:w="6687" w:type="dxa"/>
        <w:jc w:val="left"/>
        <w:tblInd w:w="0" w:type="dxa"/>
        <w:tblCellMar>
          <w:top w:w="28" w:type="dxa"/>
          <w:left w:w="28" w:type="dxa"/>
          <w:bottom w:w="28" w:type="dxa"/>
          <w:right w:w="28" w:type="dxa"/>
        </w:tblCellMar>
      </w:tblPr>
      <w:tblGrid>
        <w:gridCol w:w="1276"/>
        <w:gridCol w:w="934"/>
        <w:gridCol w:w="940"/>
        <w:gridCol w:w="292"/>
        <w:gridCol w:w="998"/>
        <w:gridCol w:w="150"/>
        <w:gridCol w:w="109"/>
        <w:gridCol w:w="109"/>
        <w:gridCol w:w="109"/>
        <w:gridCol w:w="344"/>
        <w:gridCol w:w="1175"/>
        <w:gridCol w:w="251"/>
      </w:tblGrid>
      <w:tr>
        <w:trPr/>
        <w:tc>
          <w:tcPr>
            <w:tcW w:w="127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liabilities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purchases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general and administrative expenses:</w:t>
      </w:r>
    </w:p>
    <w:tbl>
      <w:tblPr>
        <w:tblW w:w="5484" w:type="dxa"/>
        <w:jc w:val="left"/>
        <w:tblInd w:w="0" w:type="dxa"/>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Acquisition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Total consideration at closing consisted of cash consideration of $12,000, subject to customary closing conditions and working capital adjustments, and 5,185 shares of Class A common stock with an estimated fair value of $4,770. The Company anticipates accounting for this transaction as a business combination and is in the process of completing the preliminary purchase price allocation of the net assets acquired.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 discussion and analysis, which we refer to as the “MD&amp;A,” of the financial condition and results of operations of Ascend Wellness Holdings, Inc. (the “Company,” “AWH,” or “Ascend”) is for the three months ended March 31, 2023 and 2022.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2022 (the “Annual Report”), which has been filed with the United States Securities and Exchange Commission (“SEC”) and with the relevant Canadian securities regulatory authorities under its profile on the System for Electronic Document Analysis and Retrieval (“SEDAR”). The Financial Statements and Annual Report were prepared in accordance with accounting principles generally accepted in the United States of America, which we refer to as “GAAP.”</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pStyle w:val="TextBody"/>
        <w:spacing w:lineRule="auto" w:line="288" w:before="0" w:after="180"/>
        <w:ind w:left="0" w:right="0" w:firstLine="720"/>
        <w:jc w:val="both"/>
        <w:rPr/>
      </w:pPr>
      <w:r>
        <w:rPr>
          <w:rFonts w:ascii="Times New Roman;sans-serif" w:hAnsi="Times New Roman;sans-serif"/>
          <w:b w:val="false"/>
          <w:color w:val="000000"/>
          <w:sz w:val="20"/>
        </w:rPr>
        <w:t>The Company’s shares of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formation, we have expanded our operational footprint, primarily through acquisitions, and, as of March 31, 2023, had direct or indirect operations or financial interests in six United States geographic markets: Illinois, Michigan, Ohio, Massachusetts, New Jersey, and Pennsylvania. In April 2023, we closed on a definitive agreement that expanded our operations into the state of Maryland and represents our seventh United States geographic market.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2,000 people.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products portfolio is generated primarily from plant material that we grow and process ourselves. As of March 31, 2023, we produce our consumer packaged goods in six manufacturing facilities with 245,000 square feet of current operational canopy and total current capacity of approximately 123,000 pounds annually. As of March 31, 2023, our product portfolio consists of 554 stock keeping units (“SKUs”), across a range of cannabis product categories, including flower, pre-rolls, concentrates, vapes, edibles, and other cannabis-related products. As of March 31, 2023, we have 26 open and operating retail locations and opened one additional location in April 2023. We expect to have 39 retail locations by mid-2024, which includes the four dispensaries that we acquired in Maryland in April 2023.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Business Developments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AWH continues to further develop its business and operations,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continuing the build out of our Pennsylvania cultivation facility, which had its first harvest at the end of March;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opening dispensaries in New Bedford, Massachusetts and Grand Rapids, Michigan, and, subsequently, in Tinley Park, Illinois;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subsequently acquiring four licensed medical cannabis dispensaries in Maryland, as further described below.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 and Pending Transactions</w:t>
      </w:r>
    </w:p>
    <w:p>
      <w:pPr>
        <w:pStyle w:val="TextBody"/>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Maryland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Total consideration at closing consisted of cash consideration of $12,000, subject to customary closing conditions and working capital adjustments, and 5,185 shares of Class A common stock with an estimated fair value of $4,770. The Company anticipates accounting for this transaction as a business combination.</w:t>
      </w:r>
    </w:p>
    <w:p>
      <w:pPr>
        <w:pStyle w:val="TextBody"/>
        <w:spacing w:lineRule="auto" w:line="288" w:before="0" w:after="180"/>
        <w:rPr>
          <w:rFonts w:ascii="Times New Roman;sans-serif" w:hAnsi="Times New Roman;sans-serif"/>
          <w:b/>
          <w:i/>
          <w:color w:val="000000"/>
          <w:sz w:val="20"/>
          <w:u w:val="single"/>
        </w:rPr>
      </w:pPr>
      <w:r>
        <w:rPr>
          <w:rFonts w:ascii="Times New Roman;sans-serif" w:hAnsi="Times New Roman;sans-serif"/>
          <w:b/>
          <w:i/>
          <w:color w:val="000000"/>
          <w:sz w:val="20"/>
          <w:u w:val="single"/>
        </w:rPr>
        <w:t>Ohio Patient Access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unaudited Condensed Consolidated Balance Sheet in the Financial Statements at March 31, 2023; refer to Note 11, “Debt,” in the Financial Statements for additional information. The estimated fair value of the contingent consideration is included within “Other non-current liabilities” on the unaudited Condensed Consolidated Balance Sheets in the Financial Statements at March 31, 2023 and December 31, 2022.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intangible asset acquired was determined to have an estimated fair value of $21,684 and the three properties had an estimated fair value of $2,448. Refer to Note 4, “Acquisitions,” in the Financial Statements for additional information related to this transaction.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Through this transaction, the Company will expand its footprint in Ohio to five dispensaries. The three additional dispensaries are expected to be built-out over the next year.</w:t>
      </w:r>
    </w:p>
    <w:p>
      <w:pPr>
        <w:pStyle w:val="TextBody"/>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Illinois Licenses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definitive agreements to acquire two additional licenses in Illinois. Neither of these licenses were associated with active operations at signing and the transfer of each license is subject to regulatory review and approval.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“Current portion of debt, net” on the unaudited Condensed Consolidated Balance Sheet in the Financial Statements at March 31, 2023; refer to Note 11, “Debt,” in the Financial Statements for additional information.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“Current portion of debt, net” on the unaudited Condensed Consolidated Balance Sheet in the Financial Statements at March 31, 2023.</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licenses acquired will be amortized in accordance with the Company’s policy once the related operations commence. Refer to Note 4, “Acquisitions,” in the Financial Statements for additional information related to these transactions.</w:t>
      </w:r>
    </w:p>
    <w:p>
      <w:pPr>
        <w:pStyle w:val="TextBody"/>
        <w:spacing w:before="0" w:after="18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Operational and Regulation Overview</w:t>
      </w:r>
    </w:p>
    <w:p>
      <w:pPr>
        <w:pStyle w:val="TextBody"/>
        <w:spacing w:lineRule="auto" w:line="288" w:before="0" w:after="180"/>
        <w:ind w:left="0" w:right="0" w:firstLine="720"/>
        <w:jc w:val="both"/>
        <w:rPr/>
      </w:pPr>
      <w:r>
        <w:rPr>
          <w:rFonts w:ascii="Times New Roman;sans-serif" w:hAnsi="Times New Roman;sans-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Key Financial Highlights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Revenue increased by $29,086, or 34%, during Q1 2023, as compared to Q1 2022, primarily driven by incremental revenue from new site openings and growth from our existing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Operating profit of $255 during Q1 2023, as compared to an operating loss of $14,780 in Q1 2022, primarily driven by improved gross profit margin and the absence of a litigation settlement charge.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Net decrease in cash and cash equivalents of $850 during the three months ended March 31, 2023, primarily driven by net cash used in investing activities, including payments related to prior year acquisitions, offset by timing of payments related to working capital and operating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with the Three Months Ended March 31, 2022</w:t>
      </w:r>
    </w:p>
    <w:tbl>
      <w:tblPr>
        <w:tblW w:w="8674" w:type="dxa"/>
        <w:jc w:val="left"/>
        <w:tblInd w:w="0" w:type="dxa"/>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796"/>
        <w:gridCol w:w="256"/>
        <w:gridCol w:w="109"/>
        <w:gridCol w:w="109"/>
        <w:gridCol w:w="109"/>
        <w:gridCol w:w="284"/>
        <w:gridCol w:w="972"/>
        <w:gridCol w:w="147"/>
        <w:gridCol w:w="188"/>
        <w:gridCol w:w="188"/>
        <w:gridCol w:w="268"/>
      </w:tblGrid>
      <w:tr>
        <w:trPr/>
        <w:tc>
          <w:tcPr>
            <w:tcW w:w="111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31.3 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3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(18,472)</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 meaningful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$29,086, or 34%, during the three months ended March 31, 2023, as compared to the three months ended March 31, 2022. Our revenue growth was primarily driven by $8,506 of incremental related to new dispensaries that opened during 2022 and 2023 and an increase of $7,798 across our legacy locations, which includes a benefit from the commencement of adult-use sales at our New Jersey dispensaries that began in 2022. Additionally, we recognized $3,408 of incremental revenue from acquisitions, which includes $257 related to the Marichron acquisition that occurred in late 2022. The current period also benefited from a $9,374 increase in net revenue related to our wholesale operations, primarily driven by an increase in wholesale volume sold, particularly in New Jersey, but partially offset by pricing pressure across the markets in which we operate. As of March 31, 2023, we had 554 SKUs for our cultivation products, compared to 285 SKUs as of March 31,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$16,829, or 27%, during the three months ended March 31, 2023, as compared to the three months ended March 31, 2022. Cost of goods sold represents direct and indirect expenses attributable to the production of wholesale products as well as direct expenses incurred in purchasing products from other wholesalers. Gross profit for the three months ended March 31, 2023 was $35,704, representing a gross margin of 31.3%, compared to gross profit of $23,447 and gross margin of 27.6% for the three months ended March 31, 2022. The increase in gross margin was primarily driven by improved utilization and production at our Massachusetts and New Jersey cultivation facilities due to increased production, partially offset by pricing pressure and lower margins from our outlet stores. Additionally, the current period included $3,942 of write-downs of certain inventory items primarily within our Michigan and Massachusetts businesses, compared with total write-downs of $2,204 in the prior period.</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$2,222, or 7%, during the three months ended March 31, 2023, as compared to the three months ended March 31, 2022. The increase was primarily driven by: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$4,660 increase in depreciation and amortization expense due to $3,854 of incremental amortization of licenses driven by prior year acquisitions and $806 of incremental depreciation expense due to a larger average balance of fixed assets in service;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$1,988 increase in compensation expense, including $451 higher equity-based compensation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$2,492 lower fees related to professional services and external support, driven by lower legal expenses;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$1,475 lower overhead due to improved utilization at our cultivation facilities.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Settlement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we recognized an expense of $5,000 related to the settlement of a stockholder dispute.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$2,944, or 49%, during the three months ended March 31, 2023, as compared to the three months ended March 31, 2022. The increase was primarily driven by higher cash interest expense associated with additional borrowings under our credit facility. During the three months ended March 31, 2023, the Company had a weighted-average outstanding debt balance of $335,104 with a weighted-average interest rate of 9.9%, excluding finance leases, compared to a weighted-average debt balance of $241,649 during the three months ended March 31, 2022 with a weighted-average interest rate of 9.6%.</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federal tax rate was 21% during both periods. During the three months ended March 31, 2023 the Company had operations in six U.S. geographic markets: Illinois, Michigan, Ohio, Massachusetts, New Jersey, and Pennsylvania, which have state tax rates ranging from 6% to 11.5%. Certain states, including Michigan,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$10,017, or 28.1%, of gross profit, during the three months ended March 31, 2023, as compared to $7,107, or 30.3%, of gross profit, during the three months ended March 31, 2022. The effective tax rate on gross profit for the three months ended March 31, 2023 benefited from an incremental impact attributable to the tax accounting treatment of certain acquired intangible assets, partially offset by relatively higher penalties and interest due on federal tax payments in the current year as compared to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v:rect>
            </w:pict>
          </mc:Fallback>
        </mc:AlternateContent>
      </w:r>
    </w:p>
    <w:p>
      <w:pPr>
        <w:pStyle w:val="TextBody"/>
        <w:spacing w:before="0" w:after="180"/>
        <w:ind w:left="0" w:right="0" w:firstLine="720"/>
        <w:jc w:val="center"/>
        <w:rPr/>
      </w:pPr>
      <w:r>
        <w:rPr/>
      </w: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Gross Profit for the three months ended March 31, 2023 and 2022:</w:t>
      </w:r>
    </w:p>
    <w:tbl>
      <w:tblPr>
        <w:tblW w:w="8268" w:type="dxa"/>
        <w:jc w:val="left"/>
        <w:tblInd w:w="0" w:type="dxa"/>
        <w:tblCellMar>
          <w:top w:w="28" w:type="dxa"/>
          <w:left w:w="28" w:type="dxa"/>
          <w:bottom w:w="28" w:type="dxa"/>
          <w:right w:w="28" w:type="dxa"/>
        </w:tblCellMar>
      </w:tblPr>
      <w:tblGrid>
        <w:gridCol w:w="1840"/>
        <w:gridCol w:w="1618"/>
        <w:gridCol w:w="1626"/>
        <w:gridCol w:w="211"/>
        <w:gridCol w:w="721"/>
        <w:gridCol w:w="256"/>
        <w:gridCol w:w="109"/>
        <w:gridCol w:w="109"/>
        <w:gridCol w:w="109"/>
        <w:gridCol w:w="211"/>
        <w:gridCol w:w="721"/>
        <w:gridCol w:w="256"/>
        <w:gridCol w:w="109"/>
        <w:gridCol w:w="109"/>
        <w:gridCol w:w="109"/>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41.7 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42.9 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Consists of write-offs of expired products, obsolete packaging, and net realizable value adjustments related to certain inventory items in Michigan and Massachusetts.</w:t>
      </w:r>
    </w:p>
    <w:p>
      <w:pPr>
        <w:pStyle w:val="TextBody"/>
        <w:spacing w:before="0" w:after="180"/>
        <w:ind w:left="0" w:right="0" w:firstLine="720"/>
        <w:jc w:val="both"/>
        <w:rPr/>
      </w:pPr>
      <w:r>
        <w:rPr/>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EBITDA for the three months ended March 31, 2023 and 2022:</w:t>
      </w:r>
    </w:p>
    <w:tbl>
      <w:tblPr>
        <w:tblW w:w="7939" w:type="dxa"/>
        <w:jc w:val="left"/>
        <w:tblInd w:w="0" w:type="dxa"/>
        <w:tblCellMar>
          <w:top w:w="28" w:type="dxa"/>
          <w:left w:w="28" w:type="dxa"/>
          <w:bottom w:w="28" w:type="dxa"/>
          <w:right w:w="28" w:type="dxa"/>
        </w:tblCellMar>
      </w:tblPr>
      <w:tblGrid>
        <w:gridCol w:w="1667"/>
        <w:gridCol w:w="1464"/>
        <w:gridCol w:w="1474"/>
        <w:gridCol w:w="211"/>
        <w:gridCol w:w="796"/>
        <w:gridCol w:w="256"/>
        <w:gridCol w:w="109"/>
        <w:gridCol w:w="109"/>
        <w:gridCol w:w="109"/>
        <w:gridCol w:w="211"/>
        <w:gridCol w:w="796"/>
        <w:gridCol w:w="256"/>
        <w:gridCol w:w="109"/>
        <w:gridCol w:w="109"/>
        <w:gridCol w:w="109"/>
        <w:gridCol w:w="154"/>
      </w:tblGrid>
      <w:tr>
        <w:trPr/>
        <w:tc>
          <w:tcPr>
            <w:tcW w:w="1667"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Start-up costs</w:t>
            </w:r>
            <w:r>
              <w:rPr>
                <w:rFonts w:ascii="Times New Roman;sans-serif" w:hAnsi="Times New Roman;sans-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Transaction-related and other non-recurring expenses</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w:t>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write-offs of expired products, obsolete packaging, and net realizable value adjustments related to certain inventory items in Michigan and Massachusetts.</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The 2023 amount also includes a $491 fair value adjustment related to the OPA acquisition earn-out.</w:t>
      </w:r>
    </w:p>
    <w:p>
      <w:pPr>
        <w:pStyle w:val="TextBody"/>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Legal and professional fees associated with litigation matters, potential acquisitions, and other regulatory matters and other non-recurring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v:rect>
            </w:pict>
          </mc:Fallback>
        </mc:AlternateContent>
      </w:r>
    </w:p>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Financing History and Future Capital Requirements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total current liabilities of $109,812 and $110,949, respectively, and total current assets of $204,208 and $198,743, respectively, which includes cash and cash equivalents of $73,296 and $74,146, respectively, to meet our current obligations. As of March 31, 2023, we had working capital of $94,396, compared to $87,794 as of December 31, 2022.</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94% and 90% of our cash and cash equivalents balance as of March 31, 2023 and December 31, 2022,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we had an accumulated deficit as of March 31, 2023 and December 31, 2022, as well as a net loss for the three months ended March 31,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entered into a credit facility (the “2021 Credit Facility”) which provided for an initial term loan of $210,000. We had the ability to request an increase in the 2021 Credit Facility up to $275,000 if the existing lenders (or other lenders) agreed to provide such additional term loans. During the second quarter of 2022, we borrowed an additional $65,000 of incremental term loans through this expansion feature (the “2022 Loans”) for total borrowings of $275,000 outstanding as of March 31, 2023. The 2021 Credit Facility matures on August 27, 2025 and does not require scheduled principal amortization payments. Borrowings under the 2021 Credit Facility bear interest at a rate of 9.5% per annum, payable quarterly. The initial proceeds from the 2021 Credit Facility were used, in part, to prepay certain then-outstanding debt obligations and, together with the 2022 Loans, fund working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general corporate matters, including, but not limited to, growth investments, acquisitions, capital expenditures, and other strategic initiatives.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March 31, 2023. Refer to Note 11, “Debt,” in the Financial Statements for additional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Financing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received $19,364 pursuant to a financing agreement with a third-party lender (the “Financing Agreement”), which is included in “Long-term debt, net” in the Financial Statements at March 31, 2023. The Company assigned to the lender its interests in an employee retention tax credit claim (the “ERTC Claim”) that it submitted in November 2022 for approximately $22,800.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or other full repayment. The Company determined the ERTC Claim did not meet the criteria to record as a receivable as of March 31, 2023 because of the uncertain nature of the ERTC Claim. Refer to Note 11, “Debt,” in the Financial Statements for additional information.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7045" w:type="dxa"/>
        <w:jc w:val="left"/>
        <w:tblInd w:w="0" w:type="dxa"/>
        <w:tblCellMar>
          <w:top w:w="28" w:type="dxa"/>
          <w:left w:w="28" w:type="dxa"/>
          <w:bottom w:w="28" w:type="dxa"/>
          <w:right w:w="28" w:type="dxa"/>
        </w:tblCellMar>
      </w:tblPr>
      <w:tblGrid>
        <w:gridCol w:w="1526"/>
        <w:gridCol w:w="1342"/>
        <w:gridCol w:w="1346"/>
        <w:gridCol w:w="246"/>
        <w:gridCol w:w="720"/>
        <w:gridCol w:w="127"/>
        <w:gridCol w:w="127"/>
        <w:gridCol w:w="127"/>
        <w:gridCol w:w="127"/>
        <w:gridCol w:w="246"/>
        <w:gridCol w:w="931"/>
        <w:gridCol w:w="180"/>
      </w:tblGrid>
      <w:tr>
        <w:trPr/>
        <w:tc>
          <w:tcPr>
            <w:tcW w:w="1526"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$5,778 during the three months ended March 31, 2023, as compared to net cash used in operating activities of $10,245 during the three months ended March 31, 2022, primarily driven by the timing of payments to suppliers and vendors and other working capital payments, as well as the timing and amount of income tax payments.</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by $5,057 during the three months ended March 31, 2023, as compared to the three months ended March 31, 2022. The increase was primarily due to the absence of proceeds from the sale of assets that occurred in the prior year, partially offset by lower payments associated with acquisitions and a benefit from reimbursements under tenant improvement allowances related to leasehold improvement expenditures.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increased by $132 during the three months ended March 31, 2023, as compared to the three months ended March 31, 2022. The slight increase was primarily due to higher payments for taxes withheld under equity-based compensation plans and repayments associated with finance leases.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 and Contingencies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material future contractual obligations as of March 31, 2023:</w:t>
      </w:r>
    </w:p>
    <w:tbl>
      <w:tblPr>
        <w:tblW w:w="10205" w:type="dxa"/>
        <w:jc w:val="left"/>
        <w:tblInd w:w="0" w:type="dxa"/>
        <w:tblCellMar>
          <w:top w:w="28" w:type="dxa"/>
          <w:left w:w="28" w:type="dxa"/>
          <w:bottom w:w="28" w:type="dxa"/>
          <w:right w:w="28" w:type="dxa"/>
        </w:tblCellMar>
      </w:tblPr>
      <w:tblGrid>
        <w:gridCol w:w="895"/>
        <w:gridCol w:w="747"/>
        <w:gridCol w:w="751"/>
        <w:gridCol w:w="109"/>
        <w:gridCol w:w="109"/>
        <w:gridCol w:w="109"/>
        <w:gridCol w:w="211"/>
        <w:gridCol w:w="976"/>
        <w:gridCol w:w="109"/>
        <w:gridCol w:w="109"/>
        <w:gridCol w:w="109"/>
        <w:gridCol w:w="109"/>
        <w:gridCol w:w="297"/>
        <w:gridCol w:w="1015"/>
        <w:gridCol w:w="155"/>
        <w:gridCol w:w="109"/>
        <w:gridCol w:w="109"/>
        <w:gridCol w:w="109"/>
        <w:gridCol w:w="211"/>
        <w:gridCol w:w="826"/>
        <w:gridCol w:w="109"/>
        <w:gridCol w:w="109"/>
        <w:gridCol w:w="109"/>
        <w:gridCol w:w="109"/>
        <w:gridCol w:w="217"/>
        <w:gridCol w:w="744"/>
        <w:gridCol w:w="112"/>
        <w:gridCol w:w="109"/>
        <w:gridCol w:w="109"/>
        <w:gridCol w:w="109"/>
        <w:gridCol w:w="211"/>
        <w:gridCol w:w="826"/>
        <w:gridCol w:w="158"/>
      </w:tblGrid>
      <w:tr>
        <w:trPr/>
        <w:tc>
          <w:tcPr>
            <w:tcW w:w="89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 Due by Period</w:t>
            </w:r>
          </w:p>
        </w:tc>
      </w:tr>
      <w:tr>
        <w:trPr/>
        <w:tc>
          <w:tcPr>
            <w:tcW w:w="2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2024 - 2025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2026 - 2027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Term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Fixed interest related to term notes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Finance arrangements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483,648 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2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5" w:type="dxa"/>
            <w:gridSpan w:val="3"/>
            <w:tcBorders/>
            <w:shd w:fill="auto" w:val="clear"/>
            <w:vAlign w:val="center"/>
          </w:tcPr>
          <w:p>
            <w:pPr>
              <w:pStyle w:val="TableContents"/>
              <w:spacing w:before="0" w:after="283"/>
              <w:rPr>
                <w:sz w:val="4"/>
                <w:szCs w:val="4"/>
              </w:rPr>
            </w:pPr>
            <w:r>
              <w:rPr>
                <w:sz w:val="4"/>
                <w:szCs w:val="4"/>
              </w:rPr>
            </w:r>
          </w:p>
        </w:tc>
      </w:tr>
      <w:tr>
        <w:trPr/>
        <w:tc>
          <w:tcPr>
            <w:tcW w:w="23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commitments</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493,125 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Principal payments due under our term notes payable. Refer to Note 11, “Debt,” in the Financial Statements for additional information.</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fixed interest rate payments on borrowings under the 2021 Credit Facility based on the principal outstanding at March 31, 2023. Interest payments could fluctuate based on prepayments or additional amounts borrowed. </w:t>
      </w:r>
    </w:p>
    <w:p>
      <w:pPr>
        <w:pStyle w:val="TextBody"/>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 This amount excludes the potential earn-out payment related to the OPA acquisition that has an estimated fair value of $5,567 at March 31, 2023 and is dependent upon the commencement of adult-use cannabis sales in Ohio. Refer to Note 4, “Acquisitions,” in the Financial Statements for additional information.</w:t>
      </w:r>
    </w:p>
    <w:p>
      <w:pPr>
        <w:pStyle w:val="TextBody"/>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spacing w:lineRule="auto" w:line="288" w:before="0" w:after="12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Reflects our contractual obligations to make future payments under non-cancelable leases. Refer to Note 10, “Leases,” in the Financial Statements for additional information.</w:t>
      </w:r>
    </w:p>
    <w:p>
      <w:pPr>
        <w:pStyle w:val="TextBody"/>
        <w:spacing w:lineRule="auto" w:line="288" w:before="0" w:after="180"/>
        <w:ind w:left="0" w:right="0" w:hanging="36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 xml:space="preserve">Related to the Story of PA acquisition. Refer to Note 4, “Acquisitions,” in the Financial Statements for additional information. We expect to fund up to an additional total of $10,000 under the research collaboration agreement over the ten years following the agreement date. Since the timing of the payments may vary, this amount has been excluded from the table above.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do not have any off-balance sheet arrangements, as defined by applicable regulations of the United States Securities and Exchange Commission, that have, or are reasonably likely to have, a current or future effect on the results of our operations or financial condition, including, and without limitation, such considerations as liquidity and capital resources.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capital expenditures, net of tenant improvement allowances, of approximately $25,000 during the remainder of 2023, including expenditures related to the Maryland transaction. Changes to this estimate could result from the timing of various project start dates, which are subject to local and regulatory approvals.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remainder of 2023, we expect to complete the second phase of expansion at our New Jersey cultivation facility, the initial build out of our Pennsylvania cultivation facility, and complete certain expansion projects at our Illinois and Massachusetts cultivation facilities. We also anticipate building out the three dispensaries in Ohio related to the OPA transaction, up to four additional dispensaries in Pennsylvania, and two additional dispensaries in each of Illinois and Michigan. Additionally, we anticipate certain general maintenance activities across our cultivation facilities and dispensary locations. Management expects to fund capital expenditures by utilizing cash flows from operations and reimbursements under tenant improvement allowances from sale leaseback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construction in progress (“CIP”) balance was $11,050 and relates to capital spending on projects that were not yet complete. This balance includes amounts related to: the expansion of our New Jersey cultivation facility; certain projects at our Illinois cultivation facility; the build out of the Tinley Park dispensary that opened in April 2023; the build out of dispensaries in Ohio; and other projects across our dispensaries and cultivation facilities.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 total of 9,994 restricted common shares had been issued under the equity incentive plan approved in 2020 (the “2020 Plan”), of which 125 were unvested as of March 31, 2023. Total unrecognized compensation cost related to the restricted common shares was $17 as of March 31, 2023, which is expected to be recognized over a weighted-average remaining period of 0.5 years.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March 31, 2023, there were 4,242 shares of Class A common stock available for grant for future equity-based compensation awards under the 2021 Plan.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granted a total of 2,486 RSUs under the 2021 Plan. As of March 31, 2023, a total of 14,438 RSUs have been granted under the 2021 Plan, of which 7,178 are unvested as of March 31, 2023. Total unrecognized compensation cost related to the RSUs was $35,939 as of March 31, 2023, which is expected to be recognized over a weighted-average remaining period of 2.1 years.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1,933 stock option awards are outstanding as of March 31, 2023, of which 261 of which are exercisable. No options were granted or exercised during the three months ended March 31, 2023. The outstanding options have a remaining weighted-average contractual life of 4.2 years as of March 31, 2023, and total unrecognized stock-based compensation expense related to unvested options was $2,441, which is expected to be recognized over a weighted-average remaining period of 3.1 years.</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 expense was $4,555 and $5,715 during the three months ended March 31, 2023 and 2022, respectively, of which $1,600 and $3,211, respectively, was capitalized to inventory. As of March 31, 2023 and December 31, 2022, $2,086 and $536, respectively, remains capitalized in inventory. During the three months ended March 31, 2023, we recognized $2,955 within “General and administrative expenses” on the unaudited Condensed Consolidated Statements of Operations in the Financial Statements and we recognized $50 within “Cost of goods sold.” During the three months ended March 31, 2022, we recognized $2,504 within “General and administrative expenses” and we recognized $3,995 within “Cost of goods sold.” Refer to Note 13, “Equity-Based Compensation Expense,” in the Financial Statements for additional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an employee stock purchase plan (the “2021 ESPP”), pursuant to which 4,000 shares of Class A common stock are reserved for issuance thereunder, subject to certain adjustments and other terms. As of March 31, 2023, no shares have been issued under the 2021 ESPP.</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2023, the Company’s board of directors unanimously approved, subject to stockholder approval, an amendment to the 2021 Plan (the “Amendment”) to increase the maximum number of shares of Class A common stock available for issuance under the 2021 Plan to an amount not to exceed 10% of the total number of issued and outstanding shares of Class A common stock, on a non-diluted basis, as constituted on the grant date of an award pursuant to the 2021 Plan. On May 5, 2023, the stockholders of the Company voted to approve the Amendment.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Lease-Related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The modification resulted in a total additional tenant improvement allowance of $15,000, a reduction of $2,254 to the ROU asset, and an increase of $12,746 to the lease liability.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10, “Leases,” in the Financial Statements for additional information regarding the Company’s leases.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evaluate and implement actions to strengthen our financial position and support the continuity of our business and operations in the face of the COVID-19 pandemic (the “Pandemic”) and other events. Although our operations have not been materially affected to date, the ultimate severity of the Pandemic and its impact on the economic environment remains uncertain. We continue to generate operating cash flows to meet our short-term liquidity needs. 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$73,296 as of March 31, 2023 to enable us to meet our working capital and other operating requirements, fund growth initiatives and capital expenditures, settle our liabilities, and pay scheduled interest payments on debt.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pPr>
      <w:r>
        <w:rPr>
          <w:rFonts w:ascii="Times New Roman;sans-serif" w:hAnsi="Times New Roman;sans-serif"/>
          <w:b w:val="false"/>
          <w:color w:val="000000"/>
          <w:sz w:val="20"/>
        </w:rPr>
        <w:t>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actions, including any actions that would have a material adverse effect on MedMen’s NY business. On March 27, 2023, the parties entered a further stipulation that would modify the January 21, 2022 Stipulation and Order, but that modification has not been approved by the Court. Accordingly, the Stipulation and Order remains in place until trial. The Stipulation and Order also set an initial schedule for the litigation.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 </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cannot make or provide the representations and warranties MedMen would have been required to make as part of the contemplated transactions, the Company determined that it no longer intends to consummate the contemplated transactions.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The parties are awaiting a decision from the Court on the motion to dismiss.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March 31, 2023 and is included within “Other current assets” on the unaudited Condensed Consolidated Balance Sheets in the Financial Statements at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v:rect>
            </w:pict>
          </mc:Fallback>
        </mc:AlternateContent>
      </w:r>
    </w:p>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Financial Statements are prepared in accordance with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to the Financial Statements.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Recently Adopted Accounting Standards and Recently Issued Accounting Pronouncements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about our recently adopted accounting standards and recently issued accounting standards not yet adopted, see Note 2, “Basis of Presentation and Significant Accounting Policies,” to the Financial Statements.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ENVIRONMENT: ISSUERS WITH UNITED STATES CANNABIS-RELATED ASSETS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Securities and Exchange Commission and with the relevant Canadian securities regulatory authorities under its profile on SEDAR.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2022.</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March 31, 2023 and December 31, 2022, as well as a net loss for the three months ended March 31,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v:rect>
            </w:pict>
          </mc:Fallback>
        </mc:AlternateContent>
      </w:r>
    </w:p>
    <w:p>
      <w:pPr>
        <w:pStyle w:val="TextBody"/>
        <w:spacing w:before="0" w:after="180"/>
        <w:ind w:left="0" w:right="0" w:firstLine="720"/>
        <w:jc w:val="both"/>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our Principal Executive Officers and Principal Financial Officer evaluated our disclosure controls and procedures, as such term is defined in Rule 13a-15(e) and 15d-15(e) of the Securities Exchange Act of 1934, as amended (the “Exchange Act”). Based upon that evaluation, our Principal Executive Officers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United States Securities and Exchange Commission and (2) accumulated and communicated to our management, including our Principal Executive Officers and Principal Financial Officer, to allow timely decisions regarding required disclosure. </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 discussion of our litigation matters occurring in the period covered by this report is found in </w:t>
      </w:r>
      <w:hyperlink w:anchor="i818255e1f2da4a129e3fffbcc86f3765_88">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 “Commitments and Contingencies,” to the Financial Statements in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there have been no material changes in our risk factors from those disclosed in our Annual Report on Form 10-K for the year ended December 31, 2022, in response to Item 1A., “Risk Factors,” of Part I of the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sales of unregistered securities during the quarter ended March 31, 2023, and from the period from April 1, 2023 to the filing date of this report, which have not been previously disclosed in a prior Current Report on Form 8-K.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60"/>
        <w:ind w:left="0" w:right="0" w:firstLine="720"/>
        <w:rPr>
          <w:rFonts w:ascii="Times New Roman;sans-serif" w:hAnsi="Times New Roman;sans-serif"/>
          <w:b/>
          <w:color w:val="000000"/>
          <w:sz w:val="20"/>
        </w:rPr>
      </w:pPr>
      <w:r>
        <w:rPr>
          <w:rFonts w:ascii="Times New Roman;sans-serif" w:hAnsi="Times New Roman;sans-serif"/>
          <w:b/>
          <w:color w:val="000000"/>
          <w:sz w:val="20"/>
        </w:rPr>
        <w:t>(a) EXHIBIT INDEX</w:t>
      </w:r>
    </w:p>
    <w:tbl>
      <w:tblPr>
        <w:tblW w:w="10205" w:type="dxa"/>
        <w:jc w:val="center"/>
        <w:tblInd w:w="0" w:type="dxa"/>
        <w:tblCellMar>
          <w:top w:w="28" w:type="dxa"/>
          <w:left w:w="28" w:type="dxa"/>
          <w:bottom w:w="28" w:type="dxa"/>
          <w:right w:w="28" w:type="dxa"/>
        </w:tblCellMar>
      </w:tblPr>
      <w:tblGrid>
        <w:gridCol w:w="268"/>
        <w:gridCol w:w="235"/>
        <w:gridCol w:w="237"/>
        <w:gridCol w:w="109"/>
        <w:gridCol w:w="109"/>
        <w:gridCol w:w="109"/>
        <w:gridCol w:w="1809"/>
        <w:gridCol w:w="1626"/>
        <w:gridCol w:w="1634"/>
        <w:gridCol w:w="109"/>
        <w:gridCol w:w="109"/>
        <w:gridCol w:w="109"/>
        <w:gridCol w:w="170"/>
        <w:gridCol w:w="170"/>
        <w:gridCol w:w="171"/>
        <w:gridCol w:w="109"/>
        <w:gridCol w:w="109"/>
        <w:gridCol w:w="109"/>
        <w:gridCol w:w="256"/>
        <w:gridCol w:w="256"/>
        <w:gridCol w:w="239"/>
        <w:gridCol w:w="109"/>
        <w:gridCol w:w="109"/>
        <w:gridCol w:w="109"/>
        <w:gridCol w:w="210"/>
        <w:gridCol w:w="210"/>
        <w:gridCol w:w="211"/>
        <w:gridCol w:w="109"/>
        <w:gridCol w:w="109"/>
        <w:gridCol w:w="109"/>
        <w:gridCol w:w="288"/>
        <w:gridCol w:w="237"/>
        <w:gridCol w:w="343"/>
      </w:tblGrid>
      <w:tr>
        <w:trPr/>
        <w:tc>
          <w:tcPr>
            <w:tcW w:w="2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Incorporated by Reference</w:t>
            </w:r>
          </w:p>
        </w:tc>
      </w:tr>
      <w:tr>
        <w:trPr/>
        <w:tc>
          <w:tcPr>
            <w:tcW w:w="7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Filing Date</w:t>
            </w:r>
          </w:p>
        </w:tc>
      </w:tr>
      <w:tr>
        <w:trPr/>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7"/>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7"/>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7"/>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15, 2021</w:t>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7"/>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7"/>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10-Q</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August 15, 2022</w:t>
            </w:r>
          </w:p>
        </w:tc>
      </w:tr>
      <w:tr>
        <w:trPr/>
        <w:tc>
          <w:tcPr>
            <w:tcW w:w="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17"/>
                  <w:u w:val="single"/>
                </w:rPr>
                <w:t>Amendment to the Ascend Wellness Holdings, Inc. 2021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7"/>
                  <w:u w:val="single"/>
                </w:rPr>
                <w:t>Employment Agreement between Ascend Wellness Holdings, Inc. and John Hartmann, dated May 9,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17"/>
                  <w:u w:val="single"/>
                </w:rPr>
                <w:t>Amendment No. 1 to the Amended and Restated Employment Agreement between Ascend Wellness Holdings, Inc. and Francis Perullo, dated May 9,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May 9, 2023</w:t>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11-03312023.htm">
              <w:r>
                <w:rPr>
                  <w:rStyle w:val="InternetLink"/>
                  <w:rFonts w:ascii="Times New Roman;sans-serif" w:hAnsi="Times New Roman;sans-serif"/>
                  <w:b w:val="false"/>
                  <w:color w:val="0000FF"/>
                  <w:sz w:val="17"/>
                  <w:u w:val="single"/>
                </w:rPr>
                <w:t>Certification of Periodic Report by Interim Co-Principal Executive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2-03312023.htm">
              <w:r>
                <w:rPr>
                  <w:rStyle w:val="InternetLink"/>
                  <w:rFonts w:ascii="Times New Roman;sans-serif" w:hAnsi="Times New Roman;sans-serif"/>
                  <w:b w:val="false"/>
                  <w:color w:val="0000FF"/>
                  <w:sz w:val="17"/>
                  <w:u w:val="single"/>
                </w:rPr>
                <w:t>Certification of Periodic Report by Interim Co-Principal Executive Officer and Principal Financial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2-03312023.htm">
              <w:r>
                <w:rPr>
                  <w:rStyle w:val="InternetLink"/>
                  <w:rFonts w:ascii="Times New Roman;sans-serif" w:hAnsi="Times New Roman;sans-serif"/>
                  <w:b w:val="false"/>
                  <w:color w:val="0000FF"/>
                  <w:sz w:val="17"/>
                  <w:u w:val="single"/>
                </w:rPr>
                <w:t>Certification of Interim Co-Chief Executive Officers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Indicates management contract or compensatory plan, contract or arrangement.</w:t>
      </w:r>
    </w:p>
    <w:p>
      <w:pPr>
        <w:pStyle w:val="TextBody"/>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35" w:type="dxa"/>
        <w:jc w:val="left"/>
        <w:tblInd w:w="0" w:type="dxa"/>
        <w:tblCellMar>
          <w:top w:w="28" w:type="dxa"/>
          <w:left w:w="28" w:type="dxa"/>
          <w:bottom w:w="28" w:type="dxa"/>
          <w:right w:w="28" w:type="dxa"/>
        </w:tblCellMar>
      </w:tblPr>
      <w:tblGrid>
        <w:gridCol w:w="456"/>
        <w:gridCol w:w="400"/>
        <w:gridCol w:w="403"/>
        <w:gridCol w:w="109"/>
        <w:gridCol w:w="109"/>
        <w:gridCol w:w="109"/>
        <w:gridCol w:w="1096"/>
        <w:gridCol w:w="1096"/>
        <w:gridCol w:w="1557"/>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Ascend Wellness Holdings, Inc.</w:t>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Neville</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br/>
              <w:t>Interim Co-Chief Executive Officer</w:t>
              <w:br/>
              <w:t>(Interim Co-Principal Executive Officer) and</w:t>
              <w:br/>
              <w:t xml:space="preserve">Chief Financial Officer </w:t>
              <w:br/>
              <w:t>(Principal Financial Officer)</w:t>
            </w:r>
          </w:p>
        </w:tc>
      </w:tr>
    </w:tbl>
    <w:tbl>
      <w:tblPr>
        <w:tblW w:w="4196" w:type="dxa"/>
        <w:jc w:val="left"/>
        <w:tblInd w:w="0" w:type="dxa"/>
        <w:tblCellMar>
          <w:top w:w="28" w:type="dxa"/>
          <w:left w:w="28" w:type="dxa"/>
          <w:bottom w:w="28" w:type="dxa"/>
          <w:right w:w="28" w:type="dxa"/>
        </w:tblCellMar>
      </w:tblPr>
      <w:tblGrid>
        <w:gridCol w:w="456"/>
        <w:gridCol w:w="400"/>
        <w:gridCol w:w="403"/>
        <w:gridCol w:w="109"/>
        <w:gridCol w:w="109"/>
        <w:gridCol w:w="109"/>
        <w:gridCol w:w="763"/>
        <w:gridCol w:w="763"/>
        <w:gridCol w:w="1084"/>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Roman Nemchenko</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 Nemchenko</w:t>
              <w:br/>
              <w:t xml:space="preserve">Executive Vice President, </w:t>
              <w:br/>
              <w:t>Chief Accounting Officer</w:t>
              <w:br/>
              <w:t>(Principal Accounting Officer)</w:t>
            </w:r>
          </w:p>
        </w:tc>
      </w:tr>
    </w:tbl>
    <w:p>
      <w:pPr>
        <w:pStyle w:val="TextBody"/>
        <w:spacing w:before="0" w:after="18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INTERIM CO-CHIEF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Frank Perullo, certify that: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tbl>
      <w:tblPr>
        <w:tblW w:w="5318" w:type="dxa"/>
        <w:jc w:val="left"/>
        <w:tblInd w:w="0" w:type="dxa"/>
        <w:tblCellMar>
          <w:top w:w="28" w:type="dxa"/>
          <w:left w:w="28" w:type="dxa"/>
          <w:bottom w:w="28" w:type="dxa"/>
          <w:right w:w="28" w:type="dxa"/>
        </w:tblCellMar>
      </w:tblPr>
      <w:tblGrid>
        <w:gridCol w:w="455"/>
        <w:gridCol w:w="401"/>
        <w:gridCol w:w="404"/>
        <w:gridCol w:w="109"/>
        <w:gridCol w:w="109"/>
        <w:gridCol w:w="109"/>
        <w:gridCol w:w="1118"/>
        <w:gridCol w:w="1118"/>
        <w:gridCol w:w="1123"/>
        <w:gridCol w:w="109"/>
        <w:gridCol w:w="109"/>
        <w:gridCol w:w="154"/>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Perullo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Perullo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Interim Co-Chief Executive Officer, </w:t>
              <w:br/>
              <w:t>President and Co-Founder</w:t>
              <w:br/>
              <w:t>(Interim Co-Principal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INTERIM CO-CHIEF EXECUTIVE OFFICER AND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Daniel Neville, certify that: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5663" w:type="dxa"/>
        <w:jc w:val="left"/>
        <w:tblInd w:w="0" w:type="dxa"/>
        <w:tblCellMar>
          <w:top w:w="28" w:type="dxa"/>
          <w:left w:w="28" w:type="dxa"/>
          <w:bottom w:w="28" w:type="dxa"/>
          <w:right w:w="28" w:type="dxa"/>
        </w:tblCellMar>
      </w:tblPr>
      <w:tblGrid>
        <w:gridCol w:w="455"/>
        <w:gridCol w:w="401"/>
        <w:gridCol w:w="404"/>
        <w:gridCol w:w="109"/>
        <w:gridCol w:w="109"/>
        <w:gridCol w:w="109"/>
        <w:gridCol w:w="1233"/>
        <w:gridCol w:w="1233"/>
        <w:gridCol w:w="1238"/>
        <w:gridCol w:w="109"/>
        <w:gridCol w:w="109"/>
        <w:gridCol w:w="154"/>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Co-Chief Executive Officer</w:t>
              <w:br/>
              <w:t>(Interim Co-Principal Executive Officer) and</w:t>
              <w:br/>
              <w:t xml:space="preserve">Chief Financial Officer </w:t>
              <w:b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13a-14(b) OR 15d-14(b)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Ascend Wellness Holdings, Inc. (the “Company”) for the quarter ended March 31, 2023, as filed with the Securities and Exchange Commission on the date hereof (the “Report”), Frank Perullo, Interim Co-Chief Executive Officer, President and Co-Founder of the Company, and Daniel Neville, Interim Co-Chief Executive Officer and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Exchange Act;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180"/>
        <w:rPr/>
      </w:pPr>
      <w:r>
        <w:rPr/>
      </w:r>
    </w:p>
    <w:p>
      <w:pPr>
        <w:pStyle w:val="TextBody"/>
        <w:spacing w:before="0" w:after="180"/>
        <w:rPr/>
      </w:pPr>
      <w:r>
        <w:rPr/>
      </w:r>
    </w:p>
    <w:tbl>
      <w:tblPr>
        <w:tblW w:w="4992" w:type="dxa"/>
        <w:jc w:val="left"/>
        <w:tblInd w:w="0" w:type="dxa"/>
        <w:tblCellMar>
          <w:top w:w="28" w:type="dxa"/>
          <w:left w:w="28" w:type="dxa"/>
          <w:bottom w:w="28" w:type="dxa"/>
          <w:right w:w="28" w:type="dxa"/>
        </w:tblCellMar>
      </w:tblPr>
      <w:tblGrid>
        <w:gridCol w:w="455"/>
        <w:gridCol w:w="401"/>
        <w:gridCol w:w="404"/>
        <w:gridCol w:w="109"/>
        <w:gridCol w:w="109"/>
        <w:gridCol w:w="109"/>
        <w:gridCol w:w="995"/>
        <w:gridCol w:w="995"/>
        <w:gridCol w:w="1415"/>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Perullo</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Perullo</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Interim Co-Chief Executive Officer, </w:t>
              <w:br/>
              <w:t>President and Co-Founder</w:t>
              <w:br/>
              <w:t>(Interim Co-Principal Executive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336" w:type="dxa"/>
        <w:jc w:val="left"/>
        <w:tblInd w:w="0" w:type="dxa"/>
        <w:tblCellMar>
          <w:top w:w="28" w:type="dxa"/>
          <w:left w:w="28" w:type="dxa"/>
          <w:bottom w:w="28" w:type="dxa"/>
          <w:right w:w="28" w:type="dxa"/>
        </w:tblCellMar>
      </w:tblPr>
      <w:tblGrid>
        <w:gridCol w:w="455"/>
        <w:gridCol w:w="401"/>
        <w:gridCol w:w="404"/>
        <w:gridCol w:w="109"/>
        <w:gridCol w:w="109"/>
        <w:gridCol w:w="109"/>
        <w:gridCol w:w="1098"/>
        <w:gridCol w:w="1098"/>
        <w:gridCol w:w="1553"/>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Co-Chief Executive Officer</w:t>
              <w:br/>
              <w:t>(Interim Co-Principal Executive Officer) and</w:t>
              <w:br/>
              <w:t xml:space="preserve">Chief Financial Officer </w:t>
              <w:br/>
              <w:t>(Principal Financial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before="0" w:after="18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hyperlink" Target="https://www.sec.gov/Archives/edgar/data/1756390/000162828023016903/exhibit101-05092023form8k.htm" TargetMode="External"/><Relationship Id="rId9" Type="http://schemas.openxmlformats.org/officeDocument/2006/relationships/hyperlink" Target="https://www.sec.gov/Archives/edgar/data/1756390/000162828023016903/exhibit102-050923form8k.htm" TargetMode="External"/><Relationship Id="rId10" Type="http://schemas.openxmlformats.org/officeDocument/2006/relationships/hyperlink" Target="https://www.sec.gov/Archives/edgar/data/1756390/000162828023016903/exhibit103-050923form8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24694</Words>
  <CharactersWithSpaces>161454</CharactersWithSpaces>
  <Paragraphs>2048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