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 to______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83-0602006</w:t>
            </w:r>
          </w:p>
        </w:tc>
        <w:tc>
          <w:tcPr>
            <w:tcW w:w="200" w:type="dxa"/>
            <w:vAlign w:val="bottom"/>
          </w:tcPr>
          <w:p>
            <w:pPr>
              <w:spacing w:after="0"/>
              <w:rPr>
                <w:sz w:val="20"/>
                <w:szCs w:val="20"/>
                <w:color w:val="auto"/>
              </w:rPr>
            </w:pPr>
          </w:p>
        </w:tc>
      </w:tr>
      <w:tr>
        <w:trPr>
          <w:trHeight w:val="252"/>
        </w:trPr>
        <w:tc>
          <w:tcPr>
            <w:tcW w:w="220" w:type="dxa"/>
            <w:vAlign w:val="bottom"/>
          </w:tcPr>
          <w:p>
            <w:pPr>
              <w:spacing w:after="0"/>
              <w:rPr>
                <w:sz w:val="21"/>
                <w:szCs w:val="21"/>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8"/>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44 Whippany Rd.</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7"/>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3"/>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5"/>
          </w:tcPr>
          <w:p>
            <w:pPr>
              <w:jc w:val="center"/>
              <w:ind w:right="34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7"/>
          </w:tcPr>
          <w:p>
            <w:pPr>
              <w:jc w:val="center"/>
              <w:ind w:right="262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Trading Symbol(s)</w:t>
            </w: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August 5, 2025, there were 203,035,453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“potential,”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and our reliance on,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and grow as anticipated;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 in the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U.S. tax provisions related to controlled substances;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(“FDA”)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wholesale and retail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list of factors above is illustrative and by no means exhaustive. Additional information regarding these risks and other risks and uncertainties we face is contained in our Annual Report on Form 10-K for the year ended December 31, 2024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4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6"/>
                <w:szCs w:val="16"/>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229,376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903,867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875,713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w:t>
            </w:r>
          </w:p>
        </w:tc>
        <w:tc>
          <w:tcPr>
            <w:tcW w:w="34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June 30, 2025 and December 31, 2024</w:t>
            </w:r>
          </w:p>
        </w:tc>
        <w:tc>
          <w:tcPr>
            <w:tcW w:w="34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203,242 and 204,961 shares</w:t>
            </w:r>
          </w:p>
        </w:tc>
        <w:tc>
          <w:tcPr>
            <w:tcW w:w="34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issued and outstanding at June 30, 2025 and December 31, 2024</w:t>
            </w:r>
          </w:p>
        </w:tc>
        <w:tc>
          <w:tcPr>
            <w:tcW w:w="3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issued and outstanding at</w:t>
            </w:r>
          </w:p>
        </w:tc>
        <w:tc>
          <w:tcPr>
            <w:tcW w:w="34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June 30, 2025 and December 31, 2024</w:t>
            </w:r>
          </w:p>
        </w:tc>
        <w:tc>
          <w:tcPr>
            <w:tcW w:w="34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of Ascend Wellness Holdings, Inc. common stockholders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80" w:type="dxa"/>
            <w:vAlign w:val="bottom"/>
          </w:tcPr>
          <w:p>
            <w:pPr>
              <w:spacing w:after="0"/>
              <w:rPr>
                <w:sz w:val="14"/>
                <w:szCs w:val="14"/>
                <w:color w:val="auto"/>
              </w:rPr>
            </w:pPr>
          </w:p>
        </w:tc>
        <w:tc>
          <w:tcPr>
            <w:tcW w:w="128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255,301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(174,348)</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(190,336)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41,392</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80,953</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79,469</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 profit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(22,287)</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(24,407)</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(21,784)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(43,665)</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(39,947)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4"/>
                <w:szCs w:val="14"/>
                <w:color w:val="auto"/>
              </w:rPr>
            </w:pP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4"/>
                <w:szCs w:val="14"/>
                <w:color w:val="auto"/>
              </w:rPr>
            </w:pPr>
          </w:p>
        </w:tc>
        <w:tc>
          <w:tcPr>
            <w:tcW w:w="6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stockholders — basic and diluted</w:t>
            </w: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Weighted-average common shares outstanding — basic and</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203,866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213,160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10"/>
          </w:tcPr>
          <w:p>
            <w:pPr>
              <w:ind w:left="8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1"/>
                <w:szCs w:val="11"/>
                <w:color w:val="auto"/>
              </w:rPr>
            </w:pPr>
          </w:p>
        </w:tc>
        <w:tc>
          <w:tcPr>
            <w:tcW w:w="3780" w:type="dxa"/>
            <w:vAlign w:val="bottom"/>
            <w:gridSpan w:val="10"/>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 Ascend Wellness Holdings, Inc. Common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(419,614)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203,307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471,149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10"/>
          </w:tcPr>
          <w:p>
            <w:pPr>
              <w:ind w:left="8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10"/>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80" w:type="dxa"/>
            <w:vAlign w:val="bottom"/>
            <w:gridSpan w:val="5"/>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1"/>
                <w:szCs w:val="11"/>
                <w:color w:val="auto"/>
              </w:rPr>
            </w:pPr>
          </w:p>
        </w:tc>
        <w:tc>
          <w:tcPr>
            <w:tcW w:w="3780" w:type="dxa"/>
            <w:vAlign w:val="bottom"/>
            <w:gridSpan w:val="10"/>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 to Ascend Wellness Holdings, Inc. Common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equity-based payment rewards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Taxes withheld under equity-based compensation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plans, net</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Recognition of non-controlling interests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(333,525)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134,780</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471,587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(355,309)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116,493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3"/>
                <w:szCs w:val="13"/>
                <w:color w:val="auto"/>
              </w:rPr>
            </w:pPr>
          </w:p>
        </w:tc>
        <w:tc>
          <w:tcPr>
            <w:tcW w:w="15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(43,665)</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(39,947)</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(7,015)</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40,361</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23,740</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36,154</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8,264</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(18,863)</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w:t>
            </w:r>
          </w:p>
        </w:tc>
      </w:tr>
      <w:tr>
        <w:trPr>
          <w:trHeight w:val="217"/>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r>
      <w:tr>
        <w:trPr>
          <w:trHeight w:val="211"/>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95,270</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80" w:type="dxa"/>
            <w:vAlign w:val="bottom"/>
          </w:tcPr>
          <w:p>
            <w:pPr>
              <w:spacing w:after="0"/>
              <w:rPr>
                <w:sz w:val="14"/>
                <w:szCs w:val="14"/>
                <w:color w:val="auto"/>
              </w:rPr>
            </w:pPr>
          </w:p>
        </w:tc>
        <w:tc>
          <w:tcPr>
            <w:tcW w:w="15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17,307</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0"/>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2024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six months ended June 30, 2025.</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June 30, 2025 and December 31, 2024, as well as a net loss for the six months ended June 30, 2025 and 2024,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notes to the consolidated financial statements have been reclassified to conform with our current period presentation. These changes had no impact on our previously reported net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December 31, 2024,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2025 and 2024, we had no transfers of assets or liabilities between any of the hierarchy levels.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June 30, 2025 and 2024, 10,290 and 25,270 shares of common stock equivalents, respectively, were excluded from the calculation of diluted EPS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Financial Accounting Standards Board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income taxes paid. The amendments in this update are effective for the Company for the fiscal year ending December 31, 2025 on a prospective or retrospective basis, with early adoption permitted. We are currently evaluating the impact of this update on our disclosures in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disclosures in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Consolidation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Acquirer in the Acquisition of a Variable Interest Entity</w:t>
      </w:r>
      <w:r>
        <w:rPr>
          <w:rFonts w:ascii="Times New Roman" w:cs="Times New Roman" w:eastAsia="Times New Roman" w:hAnsi="Times New Roman"/>
          <w:sz w:val="18"/>
          <w:szCs w:val="18"/>
          <w:color w:val="auto"/>
        </w:rPr>
        <w:t>, which revises the guidance in ASC 805 on identifying the accounting acquirer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 which the legal acquiree is a variable interest entity (“VIE”). This ASU is intended to improve comparability between business combinations that involve VIEs and those that do not and requires a reporting entity to consider the factors for identifying the accounting acquirer when a transaction is primarily effected by the exchange of equity interests. This ASU will be effective for the Company beginning January 1, 2027 and early adoption is permitted. We are currently evaluating the impact of this update on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income (loss) that are reflected in the Consolidated Statements of Operations are: interest expense; other expense, net; and income tax expense. Refer to Note 17, “Supplemental Information,” for additional information regarding our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188,283</w:t>
            </w: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Third-party wholesale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related to the loyalty program we offer dispensary customers at certain locations was $1,381 and $1,394 at June 30, 2025 and December 31, 2024, respectively, and is included within “Other current liabilities” on the unaudited Condensed Consolidated Balance Sheets. The Company recorded $2,150 and $2,119 in allowance for doubtful accounts as of June 30, 2025 and December 31, 2024, respectively. Write-offs were not significant during the three and six months ended June 30, 2025 and 2024.</w:t>
      </w:r>
    </w:p>
    <w:p>
      <w:pPr>
        <w:spacing w:after="0" w:line="176" w:lineRule="exact"/>
        <w:rPr>
          <w:sz w:val="20"/>
          <w:szCs w:val="20"/>
          <w:color w:val="auto"/>
        </w:rPr>
      </w:pPr>
    </w:p>
    <w:p>
      <w:pPr>
        <w:ind w:right="9440" w:firstLine="8"/>
        <w:spacing w:after="0" w:line="439"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Core Partnership Dispensary Three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a consolidated VIE of the Company (Core Partnership One, as defined in Note 8, “Variable Interest Entities”) entered into a definitive agreement to acquire an entity that owns and operates an adult-use dispensary (“Core Partnership Dispensary Three”), which agreement is subject to regulatory approval. The parties also entered into a management services agreement (“MSA”) pursuant to which Core Partnership One will provide certain management and advisory services for a set fee. This MSA became effective in March 2025, following regulatory approval, and will remain in place until the definitive agreement receives regulatory approval and the underlying transaction closes. Based on the provisions of this MSA, Core Partnership One obtained operational and financial influence over Core Partnership Dispensary Three and therefore recognized the transaction as a business combination as of the March 2025 regulatory approval date of this MSA. Refer to Note 8, “Variable Interest Entities,” for additional information regarding the Company’s VIEs.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cash consideration for the Core Partnership Dispensary Three transaction is $1,667, of which $833 was paid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$1,600 for this earn-out was determined utilizing an income approach based on a probability-weighted estimate of the future payment discounted using the Company’s estimated incremental borrowing rate and is classified within Level 3 of the fair value hierarchy. As of June 30, 2025, the estimate fair value of this earn-out was $1,690, which is included within “Other non-current liabilities” on the unaudited Condensed Consolidated Balance Sheet as of that date and the change in fair value is included within “General and administrative expenses” on the unaudited Condensed Consolidated Statements of Operations for the three and six months ended June 30, 2025.</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Core Partnership Dispensary Four</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Core Partnership One entered into a definitive agreement to acquire an entity that owns and operates an adult-use dispensary (“Core Partnership Dispensary Four”), which agreement is subject to regulatory approval. The parties also entered into an MSA under which Core Partnership One will provide management and advisory services for a set fee. This MSA became effective in May 2025, following its regulatory approval, and will remain in place until the definitive agreement receives regulatory approval and the underlying transaction closes. Based on the provisions of this MSA, the Core Partnership One obtained operational and financial influence over Core Partnership Dispensary Four and therefore recognized the transaction as a business combination as of the May 2025 regulatory approval date of this MSA. Refer to Note 8, “Variable Interest Entities,” for additional information regarding the Company’s VIEs.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cash consideration for the Core Partnership Dispensary Four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$1,900 for this earn-out was determined utilizing an income approach based on a probability-weighted estimate of the future payment discounted using the Company’s estimated incremental borrowing rate and is classified within Level 3 of the fair value hierarchy and is included within “Other non-current liabilities” on the unaudited Condensed Consolidated Balance Sheet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Non-Core Partnership Dispensary One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2025, Non-Core Partnership One (as defined in Note 8, “Variable Interest Entities”) entered into a definitive agreement to acquire an adult-use dispensary (the “Non-Core Partnership Dispensary One”). The parties also entered into a consulting agreement under which Non-Core Partnership One will provide management and advisory services for a set fee. This consulting agreement became effective in June 2025 and will remain in place until regulatory approval of the definitive agreement is received and the underlying transaction thereby closes. Based on the provisions of this consulting agreement, Non-Core Partnership One obtained operational and financial influence over Non-Core Partnership Dispensary One and therefore recognized the transaction as a business combination as of the June 2025 effective date of this consulting agreement. Refer to Note 8, “Variable Interest Entities,” for additional information regarding the Company’s VIEs. Total cash consideration for Non-Core Partnership Dispensary One is $3,250, of which $813 was paid at signing and the remainder will be due at final closing, subject to certain closing adjustments.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Purchase Price Allocations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allocations for the transactions described above, which remains preliminary as management refines certain estimates during the respective measurement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Core Partnership</w:t>
            </w:r>
          </w:p>
        </w:tc>
        <w:tc>
          <w:tcPr>
            <w:tcW w:w="22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Core Partnership</w:t>
            </w:r>
          </w:p>
        </w:tc>
        <w:tc>
          <w:tcPr>
            <w:tcW w:w="140" w:type="dxa"/>
            <w:vAlign w:val="bottom"/>
          </w:tcPr>
          <w:p>
            <w:pPr>
              <w:spacing w:after="0"/>
              <w:rPr>
                <w:sz w:val="17"/>
                <w:szCs w:val="17"/>
                <w:color w:val="auto"/>
              </w:rPr>
            </w:pP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Non-Core Partnership</w:t>
            </w:r>
          </w:p>
        </w:tc>
      </w:tr>
      <w:tr>
        <w:trPr>
          <w:trHeight w:val="189"/>
        </w:trPr>
        <w:tc>
          <w:tcPr>
            <w:tcW w:w="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9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Three</w:t>
            </w:r>
          </w:p>
        </w:tc>
        <w:tc>
          <w:tcPr>
            <w:tcW w:w="220" w:type="dxa"/>
            <w:vAlign w:val="bottom"/>
          </w:tcPr>
          <w:p>
            <w:pPr>
              <w:spacing w:after="0"/>
              <w:rPr>
                <w:sz w:val="16"/>
                <w:szCs w:val="16"/>
                <w:color w:val="auto"/>
              </w:rPr>
            </w:pPr>
          </w:p>
        </w:tc>
        <w:tc>
          <w:tcPr>
            <w:tcW w:w="190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Dispensary Four</w:t>
            </w:r>
          </w:p>
        </w:tc>
        <w:tc>
          <w:tcPr>
            <w:tcW w:w="140" w:type="dxa"/>
            <w:vAlign w:val="bottom"/>
          </w:tcPr>
          <w:p>
            <w:pPr>
              <w:spacing w:after="0"/>
              <w:rPr>
                <w:sz w:val="16"/>
                <w:szCs w:val="16"/>
                <w:color w:val="auto"/>
              </w:rPr>
            </w:pPr>
          </w:p>
        </w:tc>
        <w:tc>
          <w:tcPr>
            <w:tcW w:w="190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One</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49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20" w:type="dxa"/>
            <w:vAlign w:val="bottom"/>
          </w:tcPr>
          <w:p>
            <w:pPr>
              <w:spacing w:after="0"/>
              <w:rPr>
                <w:sz w:val="19"/>
                <w:szCs w:val="19"/>
                <w:color w:val="auto"/>
              </w:rPr>
            </w:pPr>
          </w:p>
        </w:tc>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the acquired licenses is 10 years. During the three months ended June 30, 2025, we refined certain estimates related to the fair value of the Core Partnership Dispensary Three acquired license, resulting in a measurement period purchase accounting adjustment that reduced the value by $710, with a related impact to goodwill.</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Internal Revenue Code (“IRC”) Section 280E; see Note 14, “Income Taxes,” for additional information.</w:t>
      </w:r>
    </w:p>
    <w:p>
      <w:pPr>
        <w:spacing w:after="0" w:line="88"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cash consideration, $833 was paid in March 2025 for the Core Partnership Dispensary Three transaction, $1,667 was paid in May 2025 for the Core Partnership Dispensary Four transaction, and $813 was paid upon signing in May 2025 for the Non-Core Partnership Dispensary One transaction. The remainder of each respective total consideration amount is included as a sellers’ note as a component of debt; refer to Note 11,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Core Partnership One has also agreed to assume the lease for the associated locations and recognized a total finance lease liability and ROU asset of $767 related to Core Partnership Dispensary Three and $653 for Core Partnership Dispensary Four as of the respective effective dates. Non-Core Partnership One has agreed to assume the lease associated with Non-Core Partnership Dispensary One and recognized a total finance lease liability and ROU asset of $679. Refer to Note 10, “Leases,” for additional information regarding the Company’s leases. Direct transaction costs for these transactions were not material.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and Pro Forma Information</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and net loss related to the acquisitions described above that are included in our consolidated results from the respective effective dates, as 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Core Partnership</w:t>
            </w:r>
          </w:p>
        </w:tc>
        <w:tc>
          <w:tcPr>
            <w:tcW w:w="160" w:type="dxa"/>
            <w:vAlign w:val="bottom"/>
          </w:tcPr>
          <w:p>
            <w:pPr>
              <w:spacing w:after="0"/>
              <w:rPr>
                <w:sz w:val="14"/>
                <w:szCs w:val="14"/>
                <w:color w:val="auto"/>
              </w:rPr>
            </w:pPr>
          </w:p>
        </w:tc>
        <w:tc>
          <w:tcPr>
            <w:tcW w:w="19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Core Partnership</w:t>
            </w:r>
          </w:p>
        </w:tc>
        <w:tc>
          <w:tcPr>
            <w:tcW w:w="140" w:type="dxa"/>
            <w:vAlign w:val="bottom"/>
          </w:tcPr>
          <w:p>
            <w:pPr>
              <w:spacing w:after="0"/>
              <w:rPr>
                <w:sz w:val="14"/>
                <w:szCs w:val="14"/>
                <w:color w:val="auto"/>
              </w:rPr>
            </w:pPr>
          </w:p>
        </w:tc>
        <w:tc>
          <w:tcPr>
            <w:tcW w:w="190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9"/>
              </w:rPr>
              <w:t>Non-Core Partnership</w:t>
            </w:r>
          </w:p>
        </w:tc>
      </w:tr>
      <w:tr>
        <w:trPr>
          <w:trHeight w:val="189"/>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9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Three</w:t>
            </w:r>
          </w:p>
        </w:tc>
        <w:tc>
          <w:tcPr>
            <w:tcW w:w="160" w:type="dxa"/>
            <w:vAlign w:val="bottom"/>
          </w:tcPr>
          <w:p>
            <w:pPr>
              <w:spacing w:after="0"/>
              <w:rPr>
                <w:sz w:val="16"/>
                <w:szCs w:val="16"/>
                <w:color w:val="auto"/>
              </w:rPr>
            </w:pPr>
          </w:p>
        </w:tc>
        <w:tc>
          <w:tcPr>
            <w:tcW w:w="19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Four</w:t>
            </w:r>
          </w:p>
        </w:tc>
        <w:tc>
          <w:tcPr>
            <w:tcW w:w="140" w:type="dxa"/>
            <w:vAlign w:val="bottom"/>
          </w:tcPr>
          <w:p>
            <w:pPr>
              <w:spacing w:after="0"/>
              <w:rPr>
                <w:sz w:val="16"/>
                <w:szCs w:val="16"/>
                <w:color w:val="auto"/>
              </w:rPr>
            </w:pPr>
          </w:p>
        </w:tc>
        <w:tc>
          <w:tcPr>
            <w:tcW w:w="19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One</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827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425</w:t>
            </w:r>
          </w:p>
        </w:tc>
      </w:tr>
      <w:tr>
        <w:trPr>
          <w:trHeight w:val="234"/>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8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(196)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(24)</w:t>
            </w:r>
          </w:p>
        </w:tc>
      </w:tr>
      <w:tr>
        <w:trPr>
          <w:trHeight w:val="45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Core Partnership</w:t>
            </w:r>
          </w:p>
        </w:tc>
        <w:tc>
          <w:tcPr>
            <w:tcW w:w="160" w:type="dxa"/>
            <w:vAlign w:val="bottom"/>
          </w:tcPr>
          <w:p>
            <w:pPr>
              <w:spacing w:after="0"/>
              <w:rPr>
                <w:sz w:val="14"/>
                <w:szCs w:val="14"/>
                <w:color w:val="auto"/>
              </w:rPr>
            </w:pPr>
          </w:p>
        </w:tc>
        <w:tc>
          <w:tcPr>
            <w:tcW w:w="19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Core Partnership</w:t>
            </w:r>
          </w:p>
        </w:tc>
        <w:tc>
          <w:tcPr>
            <w:tcW w:w="140" w:type="dxa"/>
            <w:vAlign w:val="bottom"/>
          </w:tcPr>
          <w:p>
            <w:pPr>
              <w:spacing w:after="0"/>
              <w:rPr>
                <w:sz w:val="14"/>
                <w:szCs w:val="14"/>
                <w:color w:val="auto"/>
              </w:rPr>
            </w:pPr>
          </w:p>
        </w:tc>
        <w:tc>
          <w:tcPr>
            <w:tcW w:w="190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9"/>
              </w:rPr>
              <w:t>Non-Core Partnership</w:t>
            </w:r>
          </w:p>
        </w:tc>
      </w:tr>
      <w:tr>
        <w:trPr>
          <w:trHeight w:val="189"/>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9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Three</w:t>
            </w:r>
          </w:p>
        </w:tc>
        <w:tc>
          <w:tcPr>
            <w:tcW w:w="160" w:type="dxa"/>
            <w:vAlign w:val="bottom"/>
          </w:tcPr>
          <w:p>
            <w:pPr>
              <w:spacing w:after="0"/>
              <w:rPr>
                <w:sz w:val="16"/>
                <w:szCs w:val="16"/>
                <w:color w:val="auto"/>
              </w:rPr>
            </w:pPr>
          </w:p>
        </w:tc>
        <w:tc>
          <w:tcPr>
            <w:tcW w:w="19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Four</w:t>
            </w:r>
          </w:p>
        </w:tc>
        <w:tc>
          <w:tcPr>
            <w:tcW w:w="140" w:type="dxa"/>
            <w:vAlign w:val="bottom"/>
          </w:tcPr>
          <w:p>
            <w:pPr>
              <w:spacing w:after="0"/>
              <w:rPr>
                <w:sz w:val="16"/>
                <w:szCs w:val="16"/>
                <w:color w:val="auto"/>
              </w:rPr>
            </w:pPr>
          </w:p>
        </w:tc>
        <w:tc>
          <w:tcPr>
            <w:tcW w:w="19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rPr>
              <w:t>Dispensary One</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425</w:t>
            </w:r>
          </w:p>
        </w:tc>
      </w:tr>
      <w:tr>
        <w:trPr>
          <w:trHeight w:val="234"/>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8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(184)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(24)</w:t>
            </w:r>
          </w:p>
        </w:tc>
      </w:tr>
    </w:tbl>
    <w:p>
      <w:pPr>
        <w:spacing w:after="0" w:line="2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presented for these acquisitions, as such results are immaterial, individually and in aggregate, to both the current and prior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April 2024, Core Partnership One acquired two dispensaries in the greater Chicago, Illinois area (the “2024 Core Partner Dispensaries”). The parties entered into interim MSAs pursuant to which Core Partnership One will advise on certain business, operational, and financial matters for a monthly fee while the parties finalize asset purchase agreements to acquire the underlying dispensaries (the “Chicago MSAs”). The total purchase price of approximately $10,000 of cash consideration is subject to certain closing adjustments. An initial deposit of $1,500 was remitted during the three months ended March 31, 2024. The remainder of $8,500 was remitted to escrow during the three months ended June 30, 2024 and remained in escrow as of June 30, 2025. The asset purchase agreements in respect of the 2024 Core Partner Dispensaries are subject to regulatory review and approval. Based on the provisions of the Chicago MSAs, the third party obtained operational and financial influence over the dispensaries and therefore recognized the transaction as a business combination as of the April 2024 regulatory approval date of the Chicago MSAs.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jc w:val="center"/>
              <w:ind w:left="996"/>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40" w:type="dxa"/>
            <w:vAlign w:val="bottom"/>
          </w:tcPr>
          <w:p>
            <w:pPr>
              <w:jc w:val="center"/>
              <w:ind w:left="996"/>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4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696"/>
        </w:trPr>
        <w:tc>
          <w:tcPr>
            <w:tcW w:w="20" w:type="dxa"/>
            <w:vAlign w:val="bottom"/>
          </w:tcPr>
          <w:p>
            <w:pPr>
              <w:spacing w:after="0"/>
              <w:rPr>
                <w:sz w:val="24"/>
                <w:szCs w:val="24"/>
                <w:color w:val="auto"/>
              </w:rPr>
            </w:pPr>
          </w:p>
        </w:tc>
        <w:tc>
          <w:tcPr>
            <w:tcW w:w="9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of the 2024 Core Partner Dispensaries.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9"/>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 of $1,398 and furniture, fixtures, and equipment of $127.</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the six months ended June 30, 2025, certain estimates related to the fair value of the acquired licenses were refined, resulting in a measurement period purchase accounting adjustment that reduced the value by $940, with a related impact to goodwill.</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spacing w:after="0" w:line="1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for the three and six months ended June 30, 2025 include $3,422 and $6,487, respectively, of net revenue and $396 of net loss and $245 of net income, respectively, related to the 2024 Core Partner Dispensaries. The associated net revenue and net income for the three and six months ended June 30, 2024 were not material. Pro forma financial information is not presented, as such results are immaterial to both the current and prior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Asset Acquisitions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Core Partnership One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under which Core Partnership One will provide certain management and advisory services for a set fee. These management services agreements were subject to regulatory review and approval, which was received in February 2025. Based on the provisions of the agreements, Core Partnership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and was allocated to the licenses acquired as of the effective date. Of the total consideration, $1,000 was paid at signing in December 2024 and is included within “Other non-current assets” on the unaudited Condensed Consolidated Balance Sheet as of December 31, 2024. A total of up to $1,500 is expected to be paid upon opening of the associated dispensary locations and a total of up to $1,500 is expected be paid upon final closing of the associated transaction. The total of these payments is included as a sellers’ note; refer to Note 11, “Debt.” Additionally, the Company recorded an acquisition-related deferred tax liability of $1,755, which was allocated to the license as additional cost basis as of the effective date. Refer to Note 8, “Variable Interest Entities,” for additional information regarding the Company’s VIEs, including Core Partnership One.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Core Partnership One entered into a definitive agreement to acquire a conditional adult-use license, which agreement is subject to regulatory approval. Total cash consideration for this transaction is $1,900, which is due at final closing and is subject to certain closing adjustments. In conjunction with this definitive agreement, the parties entered into certain MSAs under which Core Partnership One will provide certain management and advisory services for a set fee. The parties also entered into a working capital loan and security agreement, under which Core Partnership One may loan up to $3,650 for the build-out of the associated dispensary, which loan has a five year maturity, if not otherwise settled, bears interest at a rate of 12.5% per annum, and provides for a default interest penalty of an additional 6.0% and a repayment fee of 10.0%. Based on the provisions of the MSAs and working capital loan, Core Partnership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The associated dispensary opened in May 2025 and the Company anticipates that closing of the transaction may occur by the end of 2025. Refer to Note 8, “Variable Interest Entities,” for additional information regarding the Company’s VIEs, including the Core Partnership 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Purchase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of which $1,500 was paid at signing and $1,250 was paid on October 1, 2024. The transfer of each license was subject to regulatory review and approval, which occurred in April 2025, and upon which the final closing of the transaction occurred. The licenses were not associated with active operations at signing, but certain operations commenced during 2024. In conjunction with the Massachusetts Purchase Agreement, the parties also entered into a bridge loan which provided for the financing of certain covered expenses, at the sole discretion of the Company, and which balance outstanding thereunder was forgiven at final closing. The parties also entered into an interim consulting services agreement, that was effective as of the signing date through the final closing date. The Company accounted for this transaction as an asset acquisition as of the signing date based on the provisions of the underlying agreements and allocated the cash consideration as the cost of the license acquired. The Company also assumed the lease for the associated location and reimbursed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Detroit License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dispensary in Detroit, Michigan, which re-opened in February 2025. The Company paid $850 of cash consideration at closing and the sellers may receive up to an additional $2,250 based upon the achievement of certain levels of sales during a specified twelve-month period following the commencement of adult-use sales at the dispensary, which sales commenced in February 2025.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and is classified within Level 3 of the fair value hierarchy. The estimated fair value of the contingent consideration was $320 and $300 as of June 30, 2025 and December 31, 2024, respectively, which amounts are included within “Other non-current liabilities” on the unaudited Condensed Consolidated Balance Sheets as of each date and which change is included within “General and administrative expenses” on the unaudited Condensed Consolidated Statements of Operations for the three and six months ended June 30, 2025. During the six months ended June 30, 2025, the Company recorded an acquisition-related deferred tax liability of $500, which was allocated to the license as additional cost basis.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regulatory approval is received, the Company may exercise the option, and the exercise is solely within the Company’s control. Under the Ohio Agreement, the Company will also acquire the real property of the three dispensary locations. As initially provided by the Ohio Agreement, the Company had the right to exercise the option until the fifth anniversary of the agreement date, but was subsequently amended in June 2024 so that such option will expire on March 22, 2026. The Company anticipates exercising the option prior to the amended expiration date. The June 2024 amendments to the Ohio Agreement also incorporated certain provisions regarding evolving regulations in Ohio, including that the Company will, upon final closing of the transactions contemplated by the Ohio Agreement, receive two additional adult-use licenses that are expected to be awarded to OPA. In July 2025, the Company entered into certain amendments related to the Ohio Agreement that, among other provisions, permitted the Company to acquire the real property of the dispensary locations in advance of the license ownership transfer and paid the sellers $2,000 of the OPA Sellers’ Note (as defined below) at that time. Effective on August 5, 2025, the Company acquired the entity that holds the real property. The license ownership transfer is pending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conjunction with the Ohio Agreement, the parties entered into a support services agreement under which the Company is providing management and advisory services to OPA for a set monthly fee. The parties also entered into a working capital loan agreement under which the Company may, at its full discretion, loan OPA up to $10,000 for general working capital needs. OPA had not yet commenced operations as of the signing date, but subsequently opened two dispensaries in December 2023 and a third in January 2024. The Company determined OPA is a VIE and the Company became the primary beneficiary as of the signing date; therefore, OPA is consolidated as a VIE. To account for the initial consolidation of OPA, management applied the acquisition method discussed above.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per the Ohio Agreement consists of total cash consideration of $22,300. The Ohio Agreement also includes an earn-out provision of $7,300 that was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total estimated fair value of the transaction consideration was determined to be $24,132, which consists of the fair value of the cash consideration of $19,290 plus the initial estimated fair value of the contingent consideration of $4,842 that was determined utilizing an income approach based on a probability-weighted estimate of the future payment discounted using the Company’s estimated incremental borrowing rate and was classified within Level 3 of the fair value hierarchy. Of the total cash consideration, $11,300 was funded at signing pursuant to note agreements and a total of $11,000 is due at final closing (the “OPA Sellers’ Note”); refer to Note 11, “Debt,” for additional information. As discussed above, the OPA Sellers’ Note was reduced by the payment made in July 2025, with the remainder expected to be paid at final closing of the transaction, which remains pending.</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inventory are as follows: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compensation expense capitalized to inventory was $17,597 and $18,629 during the three months ended June 30, 2025 and 2024, respectively, and $35,089 and $38,973 during the six months ended June 30, 2025 and 2024, respectively. At June 30, 2025 and December 31, 2024, $13,145 and $14,152, respectively, of compensation expense remained capitalized as part of inventory. The Company recognized, as a component of cost of goods sold, total write-downs related to net realizable value adjustments, expired products, and obsolete packaging totaling $5,142 during the three months ended June 30, 2025 and $6,916 and $474 during the six months ended June 30, 2025 and 2024, respectively. Such write downs were not material during the three months ended June 30, 2024. These amounts are included within “Other” on the 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Note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2022 the Company issued a secured promissory note to a retail dispensary license holder in Massachusetts providing up to $3,500 of funding, which note was amended in December 2023 (the “Massachusetts Note”). As amended, the Massachusetts Note bears interest at a rate of 12.5% per annum, which is to be paid monthly beginning in January 2024, and principal is to be repaid monthly commencing in December 2024 based on a period of twenty-four months, with the remainder due at the December 1, 2025 revised maturity date. In April 2024, the Massachusetts Note was further amended to increase the principal to $4,100 and the additional payment was funded at that time. As of June 30, 2025 and December 31, 2024, $4,100 is outstanding under the Massachusetts Note, which is included in “Notes receivable” on the unaudited Condensed Consolidated Balance Sheets, and interest receivable totaling $546 and $266, respectively, is included within “Other 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 In February 2025, the borrower entered into a purchase and sale agreement to be acquired by a third-party entity, which transaction is pending regulatory approval. The balance outstanding under the Massachusetts Note is expected to be settled as part of this transaction.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Activity</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2024, in conjunction with the settlement of a previously outstanding note receivable, the Company entered into a supply agreement that provides for the Company to receive $6,000 of inventory products, based on market prices, over the course of three years, with a maximum of $500 per quarter. The Company recorded this receivable net of an initial discount of $984 that is included within “General and administrative expenses” on the unaudited Condensed Consolidated Statements of Operations for the six months ended June 30, 2025 and within “Other” on the unaudited Condensed Consolidated Statements of Cash Flows. This discount was calculated utilizing the Company’s estimated incremental borrowing rate as of the agreement date and will be accreted to interest income over the agreement term. A total of $153 and $407 of inventory was supplied under this agreement during the three and six months ended June 30, 2025, respectively. Of the remaining receivable outstanding as of June 30, 2025 and December 31, 2024, $1,000 is included within “Other current assets” as of each date and $735 and $1,084, respectively, is included within “Other noncurrent assets” on the unaudited Condensed Consolidated Balance Sheets. These amounts are net of reserves established in 2024 for collection risk, of which $1,000 is included in “Other current assets” and $1,083 is included within “Other noncurrent assets.”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total of $3,761 was outstanding at June 30, 2025 related to a promissory note issued to the owner of a property that the Company is leasing, of which $180 and $3,581 is included in “Other current assets” and “Other noncurrent assets,” respectively, on the unaudited Condensed Consolidated Balance Sheets. At December 31, 2024, a total of $3,848 was outstanding, of which $177 and $3,671 is included in “Other current assets” and “Other noncurrent assets,” respectively, on the unaudited Condensed Consolidated Balance Sheets.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impairment losses on notes receivable were recognized during the six months ended June 30, 2025 or 2024, other than as described above or in Note 15,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78,775</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377,372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depreciation expense was $9,722 and $9,139 during the three months ended June 30, 2025 and 2024, respectively, and $19,582 and $18,284 during the six months ended June 30, 2025 and 2024, respectively. Total depreciation expense capitalized to inventory was $6,515 and $6,488 during the three months ended June 30, 2025 and 2024, respectively, and $13,534 and $13,051 during the six months ended June 30, 2025 and 2024, respectively. At June 30, 2025 and December 31, 2024, $576 and $3,174, respectively, of depreciation expense remained capitalized as part of inventory. Disposals and write offs of accumulated depreciation during the six months ended June 30, 2025 were not material.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table above includes the following amounts related to finance leases:</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Equipment</w:t>
            </w:r>
            <w:r>
              <w:rPr>
                <w:rFonts w:ascii="Times New Roman" w:cs="Times New Roman" w:eastAsia="Times New Roman" w:hAnsi="Times New Roman"/>
                <w:sz w:val="23"/>
                <w:szCs w:val="23"/>
                <w:color w:val="auto"/>
                <w:vertAlign w:val="superscript"/>
              </w:rPr>
              <w:t>(1)(2)</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Vehicles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Less: accumulated amortization</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(4)</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“Furniture, fixtures, and equipment.”</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Equipment leased pursuant to a master lease agreement that was entered into in June 2022.</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line="224"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“Accumulated depreciation.”</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line="224"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10, “Leases,” for additional information regarding our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assesses the terms of various agreements and contractual relationships to determine if it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We assess all variable interests in the entity and use our judgment when determining if we are the primary beneficiary. In addition to contractual agreements with the VIE, other qualitative factors that are considered include decision-making responsibilities, the VIE capital structure, risk and rewards sharing, voting rights, and the level of involvement of other parties. We assess the primary beneficiary determination for a VIE on an ongoing basis if there are any changes in the facts and circumstances related to a VIE.</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applicable,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(the “January 2024 Loan Agreement”) to a third party (“Core Partnership Two”).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January 2024 Loan Agreement also contains certain provisions and restrictive covenants that provide the Company with operational and financial influence over Core Partnership Two and also provides the Company with financial distributions based on the underlying associated results of operations. The Company determined it has a variable interest in Core Partnership Two and that it is the primary beneficiary, and, therefore, Core Partnership Two met the criteria for consolidation as of such date. The underlying entity received a conditional license approval for one dispensary in New Jersey that was determined to have a fair value of $1,050, which approximated the fair value of the non-controlling interest held by the third-party member as of the effective date. The non-controlling interest received a distribution during 2024 in accordance with the provisions of the January 2024 Loan Agreement. Since the entity is consolidated as a VIE, the intercompany activity related to the January 2024 Loan Agreement is eliminated in consolidation. The net loss attributable to the non-controlling interest was not significant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financing (the “February 2024 Loan Agreement”), as amended, at its sole discretion, to a third party (the “Core Partnership One”). The parties also entered into a support services agreement under which the Company will provide management and advisory services to Core Partnership One for a set monthly fee. 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February 2024 Loan Agreement contains certain provisions and restrictive covenants that provide the Company with operational and financial influence over Core Partnership One. The Company determined that the terms and provisions of the February 2024 Loan Agreement and support services agreement create a variable interest in Core Partnership One and met the criteria for consolidation as of such date. Since Core Partnership One is consolidated as a VIE, the intercompany activity related to the February 2024 Loan Agreement and the related support services agreement is eliminated in consolidation. Core Partnership One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fair value as of that date. The net loss attributable to the non-controlling interest was not significant during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and 2024.</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Transactions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 to Note 4, “Acquisitions,” for information regarding certain transactions related to the Core Partnership One that are consolidated as of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Partnership Three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2025, the Company and a third party (“Core Partnership Three”) entered into a loan agreement pursuant to which the Company may provide to Core Partnership Three up to $2,500 of financing (the “Core Partnership Three Loan Agreement”). Borrowings under the Core Partnership Three Loan Agreement bear interest at a rate of 20% per annum and are secured by substantially all of the then-current and future assets and equity interests of the borrower. The Core Partnership Three Loan Agreement provides for customary events of default, contains certain covenants and other restrictions, and provides for a default penalty of an additional 6% interest. Borrowings are due on the tenth anniversary of the Core Partnership Three Loan Agreement. The Company has a direct equity ownership interest of 35% of the equity interests in the borrower and the Core Partnership Three Loan Agreement provides the Company with conversion options to obtain up to 100% at any time through the maturity date, subject to certain provisions and as may be permitted by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Core Partnership Three Loan Agreement also contains certain provisions and restrictive covenants that provide the Company with operational and financial influence over Core Partnership Three and provides the Company with financial distributions based on the associated results of operations. The Company determined that the terms and provisions of the Core Partnership Three Loan Agreement create a variable interest in Core Partnership Three and met the criteria for consolidation as of such date. The Company and Core Partnership Three entered into a definitive agreement to acquire an entity that received licensing approvals for the operation of an adult-use dispensary for a total of $650 of cash consideration. This agreement is subject to regulatory approval, which is expected to be received within six to twelve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the three and six months ended June 30, 2025. Since the entity is consolidated as a VIE, the intercompany activity related to the Core Partnership Three Loan Agreement is eliminated in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Non-Core Partnership One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At its sole discretion, the Company may provide funding to a third party (“Non-Core Partnership One”) pursuant to a loan agreement (the “Non-Core Partnership One Loan Agreement”). In February 2025, Non-Core Partnership One entered into a definitive agreement through which it anticipates acquiring two adult-use dispensaries, subject to certain closing conditions, including regulatory approval which had not been received as of June 30, 2025. Total cash consideration for this transaction is $7,850, subject to certain closing adjustments, including the settlement of a note outstanding, and of which $250 was paid at signing. This transaction also provides for an earn-out payment, payable in cash, in an amount equal to the lesser of $2,000 or three times the Annual EBITDA (as defined) during the one-year period following closing. The Non-Core Partnership One Loan Agreement provides the Company with the option to convert the outstanding balance into equity interests of the borrower, up to 100%, as may be permissible by applicable regulations at such time. Borrowings under the Non-Core Partnership One Loan Agreement bear interest at a rate of 20% per annum and are secured by substantially all of the then-current or future assets of the borrower, as applicable. The Non-Core Partnership One Loan Agreement matures ten years from issuance, but may be extended if not otherwise converted prior to maturity, with borrowings and interest not due until such time. This third party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Refer to Note 4, “Acquisitions,” for information regarding certain transactions related to Non-Core Partnership One that are consolidated as of June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Partnership Four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2025, the Company and a third party (“Core Partnership Four”) entered into a loan agreement pursuant to which the Company may provide to Core Partnership Four up to $2,500 of financing (the “Core Partnership Four Loan Agreement”). Borrowings under the Core Partnership Four Loan Agreement bear interest at a rate of 20% per annum and are secured by substantially all of the then-current and future assets and equity interests of the borrower. The Core Partnership Four Loan Agreement provides for customary events of default, contains certain covenants and other restrictions, and provides for a default penalty of an additional 6% interest. Borrowings are due on the tenth anniversary of the Core Partnership Four Loan Agreement. The Company has a direct equity ownership interest of 35% of the equity interests in the borrower and the Core Partnership Four Loan Agreement and associated agreements provide the Company with conversion options to obtain up to 100% at any time through the maturity date, subject to certain provisions and as may be permitted by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Core Partnership Four Loan Agreement also contains provisions and restrictive covenants that provide the Company with operational and financial influence over Core Partnership Four and the underlying operating agreement provides the Company with financial distributions based on the associated results of operations. The Company determined that the terms and provisions of the Core Partnership Four Loan Agreement and associated agreements create a variable interest in Core Partnership Four and met the criteria for consolidation as of such date.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Since the entity is consolidated as a VIE, the intercompany activity related to the Core Partnership Four Loan Agreement is eliminated in consolidation.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Core Partnership Four entered into a definitive agreement to acquire an entity that received licensing approvals for the operation of an adult-use dispensary, subject to regulatory approval which is expected to be received within six to twelve months following the signing date, for a total of $1,500 of cash consideration. Of the total consideration, $250 was paid as a deposit during the fourth quarter of 2024 and was included within “Other current assets” on the unaudited Condensed Consolidated Balance Sheet as of December 31, 2024, $250 was paid at signing, and the remaining $1,000 will be paid at final closing and is included as a sellers’ note; refer to Note 11, “Debt.” The Company will also assume the lease associated with the dispensary location. Of the total consideration, $1,383 was allocated to the cost of the license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the three and six months ended June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unaudited Condensed Consolidated Balance Sheets as of June 30, 2025 and December 31, 2024 and in the unaudited Condensed Consolidated Statements of Operations for the three and six months ended June 30, 2025 and 2024,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and includes the related acquisition details disclosed in Note 4,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4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3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2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34"/>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INTANGIBLE ASSETS AND GOODWILL</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262,017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277,260</w:t>
            </w:r>
          </w:p>
        </w:tc>
      </w:tr>
      <w:tr>
        <w:trPr>
          <w:trHeight w:val="209"/>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(71,758)</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Amortization expense related to intangible assets was $6,796 and $6,679 during the three </w:t>
      </w:r>
      <w:r>
        <w:rPr>
          <w:rFonts w:ascii="Times New Roman" w:cs="Times New Roman" w:eastAsia="Times New Roman" w:hAnsi="Times New Roman"/>
          <w:sz w:val="18"/>
          <w:szCs w:val="18"/>
          <w:color w:val="070707"/>
        </w:rPr>
        <w:t>months ended June 30, 2025 and 2024, respectively, and</w:t>
      </w:r>
      <w:r>
        <w:rPr>
          <w:rFonts w:ascii="Times New Roman" w:cs="Times New Roman" w:eastAsia="Times New Roman" w:hAnsi="Times New Roman"/>
          <w:sz w:val="18"/>
          <w:szCs w:val="18"/>
          <w:color w:val="auto"/>
        </w:rPr>
        <w:t xml:space="preserve"> $13,410 and $13,569 during </w:t>
      </w:r>
      <w:r>
        <w:rPr>
          <w:rFonts w:ascii="Times New Roman" w:cs="Times New Roman" w:eastAsia="Times New Roman" w:hAnsi="Times New Roman"/>
          <w:sz w:val="18"/>
          <w:szCs w:val="18"/>
          <w:color w:val="070707"/>
        </w:rPr>
        <w:t>the</w:t>
      </w:r>
      <w:r>
        <w:rPr>
          <w:rFonts w:ascii="Times New Roman" w:cs="Times New Roman" w:eastAsia="Times New Roman" w:hAnsi="Times New Roman"/>
          <w:sz w:val="18"/>
          <w:szCs w:val="18"/>
          <w:color w:val="auto"/>
        </w:rPr>
        <w:t xml:space="preserve"> six </w:t>
      </w:r>
      <w:r>
        <w:rPr>
          <w:rFonts w:ascii="Times New Roman" w:cs="Times New Roman" w:eastAsia="Times New Roman" w:hAnsi="Times New Roman"/>
          <w:sz w:val="18"/>
          <w:szCs w:val="18"/>
          <w:color w:val="070707"/>
        </w:rPr>
        <w:t>months ended June 30, 2025 and 2024, respectively. Total amortization expense capitalized to inventory was $754</w:t>
      </w:r>
      <w:r>
        <w:rPr>
          <w:rFonts w:ascii="Times New Roman" w:cs="Times New Roman" w:eastAsia="Times New Roman" w:hAnsi="Times New Roman"/>
          <w:sz w:val="18"/>
          <w:szCs w:val="18"/>
          <w:color w:val="auto"/>
        </w:rPr>
        <w:t xml:space="preserve"> during each of the three </w:t>
      </w:r>
      <w:r>
        <w:rPr>
          <w:rFonts w:ascii="Times New Roman" w:cs="Times New Roman" w:eastAsia="Times New Roman" w:hAnsi="Times New Roman"/>
          <w:sz w:val="18"/>
          <w:szCs w:val="18"/>
          <w:color w:val="070707"/>
        </w:rPr>
        <w:t>months ended June 30, 2025 and 2024, respectively, and</w:t>
      </w:r>
      <w:r>
        <w:rPr>
          <w:rFonts w:ascii="Times New Roman" w:cs="Times New Roman" w:eastAsia="Times New Roman" w:hAnsi="Times New Roman"/>
          <w:sz w:val="18"/>
          <w:szCs w:val="18"/>
          <w:color w:val="auto"/>
        </w:rPr>
        <w:t xml:space="preserve"> $1,509 and $1,508 during </w:t>
      </w:r>
      <w:r>
        <w:rPr>
          <w:rFonts w:ascii="Times New Roman" w:cs="Times New Roman" w:eastAsia="Times New Roman" w:hAnsi="Times New Roman"/>
          <w:sz w:val="18"/>
          <w:szCs w:val="18"/>
          <w:color w:val="070707"/>
        </w:rPr>
        <w:t>the</w:t>
      </w:r>
      <w:r>
        <w:rPr>
          <w:rFonts w:ascii="Times New Roman" w:cs="Times New Roman" w:eastAsia="Times New Roman" w:hAnsi="Times New Roman"/>
          <w:sz w:val="18"/>
          <w:szCs w:val="18"/>
          <w:color w:val="auto"/>
        </w:rPr>
        <w:t xml:space="preserve"> six </w:t>
      </w:r>
      <w:r>
        <w:rPr>
          <w:rFonts w:ascii="Times New Roman" w:cs="Times New Roman" w:eastAsia="Times New Roman" w:hAnsi="Times New Roman"/>
          <w:sz w:val="18"/>
          <w:szCs w:val="18"/>
          <w:color w:val="070707"/>
        </w:rPr>
        <w:t>months ended June 30, 2025 and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respectively. </w:t>
      </w:r>
      <w:r>
        <w:rPr>
          <w:rFonts w:ascii="Times New Roman" w:cs="Times New Roman" w:eastAsia="Times New Roman" w:hAnsi="Times New Roman"/>
          <w:sz w:val="18"/>
          <w:szCs w:val="18"/>
          <w:color w:val="000000"/>
        </w:rPr>
        <w:t>At June 30, 2025 and December 31, 2024, $354 and $994, respectively, of amortization expense remained capitalized as part of inventory.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4, “Acquisitions,” for additional information.</w:t>
      </w:r>
    </w:p>
    <w:p>
      <w:pPr>
        <w:spacing w:after="0" w:line="15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impairment indicators were noted during the six months ended June 30, 2025 or 2024 and, as such, we did not record any impairment charges during either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with terms generally ranging from one to 20 years.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the unaudited Condensed Consolidated Balance Sheets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tcPr>
          <w:p>
            <w:pPr>
              <w:spacing w:after="0"/>
              <w:rPr>
                <w:sz w:val="19"/>
                <w:szCs w:val="19"/>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139,067</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267,221</w:t>
            </w:r>
          </w:p>
        </w:tc>
      </w:tr>
      <w:tr>
        <w:trPr>
          <w:trHeight w:val="230"/>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unaudited Condensed Consolidated Statements of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w:t>
            </w:r>
          </w:p>
        </w:tc>
      </w:tr>
      <w:tr>
        <w:trPr>
          <w:trHeight w:val="270"/>
        </w:trPr>
        <w:tc>
          <w:tcPr>
            <w:tcW w:w="20" w:type="dxa"/>
            <w:vAlign w:val="bottom"/>
            <w:shd w:val="clear" w:color="auto" w:fill="CCEEFF"/>
          </w:tcPr>
          <w:p>
            <w:pPr>
              <w:spacing w:after="0"/>
              <w:rPr>
                <w:sz w:val="23"/>
                <w:szCs w:val="23"/>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3"/>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accompanying unaudited Condensed Consolidated Statements of Operations.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and December 31, 2024, $6,127 and $6,886,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9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the three and six months ended June 30, 2025 and 2024 was immaterial.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3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6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jc w:val="right"/>
              <w:ind w:right="7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tcPr>
          <w:p>
            <w:pPr>
              <w:spacing w:after="0"/>
              <w:rPr>
                <w:sz w:val="19"/>
                <w:szCs w:val="19"/>
                <w:color w:val="auto"/>
              </w:rPr>
            </w:pPr>
          </w:p>
        </w:tc>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certain leases were amended that resulted in modification treatment. Based on the modified terms, operating leases with a total of $15,137 of ROU assets and $21,467 of lease liabilities were reclassified as finance leases, with a total of $15,770 of ROU assets and $22,103 of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18"/>
        </w:trPr>
        <w:tc>
          <w:tcPr>
            <w:tcW w:w="66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29"/>
        </w:trPr>
        <w:tc>
          <w:tcPr>
            <w:tcW w:w="8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8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unaudited Condensed Consolidated Balance Sheet as of June 30, 2025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20" w:type="dxa"/>
            <w:vAlign w:val="bottom"/>
          </w:tcPr>
          <w:p>
            <w:pPr>
              <w:spacing w:after="0"/>
              <w:rPr>
                <w:sz w:val="19"/>
                <w:szCs w:val="19"/>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Finance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29"/>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29,542</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53,530</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Remainder of</w:t>
            </w:r>
          </w:p>
        </w:tc>
        <w:tc>
          <w:tcPr>
            <w:tcW w:w="28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8"/>
                <w:szCs w:val="18"/>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4"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Cash payments due under</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8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2024 Term Notes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Credit Facility</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r>
              <w:rPr>
                <w:rFonts w:ascii="Times New Roman" w:cs="Times New Roman" w:eastAsia="Times New Roman" w:hAnsi="Times New Roman"/>
                <w:sz w:val="23"/>
                <w:szCs w:val="23"/>
                <w:color w:val="auto"/>
                <w:vertAlign w:val="superscript"/>
              </w:rPr>
              <w:t>(5)</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Agreement</w:t>
            </w:r>
            <w:r>
              <w:rPr>
                <w:rFonts w:ascii="Times New Roman" w:cs="Times New Roman" w:eastAsia="Times New Roman" w:hAnsi="Times New Roman"/>
                <w:sz w:val="23"/>
                <w:szCs w:val="23"/>
                <w:color w:val="auto"/>
                <w:vertAlign w:val="superscript"/>
              </w:rPr>
              <w:t>(6)</w:t>
            </w:r>
          </w:p>
        </w:tc>
        <w:tc>
          <w:tcPr>
            <w:tcW w:w="3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40" w:type="dxa"/>
            <w:vAlign w:val="bottom"/>
          </w:tcPr>
          <w:p>
            <w:pPr>
              <w:spacing w:after="0"/>
              <w:rPr>
                <w:sz w:val="23"/>
                <w:szCs w:val="23"/>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255,121</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4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16, 2024, the Company issued $235,000 in aggregate principal of senior secured notes due July 16, 2029 (the “July 2024 Term Notes”) through a private placement (the “2024 Notes Offering”). The July 2024 Term Notes were issued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w:t>
      </w:r>
    </w:p>
    <w:p>
      <w:pPr>
        <w:spacing w:after="0" w:line="99" w:lineRule="exact"/>
        <w:rPr>
          <w:rFonts w:ascii="Times New Roman" w:cs="Times New Roman" w:eastAsia="Times New Roman" w:hAnsi="Times New Roman"/>
          <w:sz w:val="21"/>
          <w:szCs w:val="21"/>
          <w:color w:val="auto"/>
          <w:vertAlign w:val="superscript"/>
        </w:rPr>
      </w:pPr>
    </w:p>
    <w:p>
      <w:pPr>
        <w:jc w:val="both"/>
        <w:ind w:left="340"/>
        <w:spacing w:after="0" w:line="25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are included within “General and administrative expenses” on the unaudited Condensed Consolidated Statements of Operations for the six months ended June 30, 2025. The Company intends to utilize the net proceeds from the January 2025 Term Notes for general corporate purposes, including to fund growth initiatives.</w:t>
      </w:r>
    </w:p>
    <w:p>
      <w:pPr>
        <w:spacing w:after="0" w:line="87" w:lineRule="exact"/>
        <w:rPr>
          <w:rFonts w:ascii="Times New Roman" w:cs="Times New Roman" w:eastAsia="Times New Roman" w:hAnsi="Times New Roman"/>
          <w:sz w:val="21"/>
          <w:szCs w:val="21"/>
          <w:color w:val="auto"/>
          <w:vertAlign w:val="superscript"/>
        </w:rPr>
      </w:pPr>
    </w:p>
    <w:p>
      <w:pPr>
        <w:jc w:val="both"/>
        <w:ind w:left="340"/>
        <w:spacing w:after="0" w:line="25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May 2025, the Company borrowed an additional $50,000 through the issuance of additional term loans (the “May 2025 Term Notes,” and, together with the July 2024 Term Notes and January 2025 Term Notes, the “2024 Term Notes”). The May 2025 Term Notes were issued at 97.5% of face value and are subject to the same terms and provisions of the July 2024 Loan Agreement, including the interest rate and maturity date thereunder, as further described below. The May 2025 Term Notes were funded by existing lenders and met the criteria for modification accounting treatment. The total of the original issue discount and other capitalized direct financing fees was approximately $1,600 and will be amortized over the associated term using the straight-line method, which approximates the interest method. The Company incurred approximately $700 of other expenses associated with this transaction that were not capitalizable and are included within “General and administrative expenses” on the unaudited Condensed Consolidated Statements of Operations for the three and six months ended June 30, 2025. The Company utilized the net proceeds from the May 2025 Term Notes, along with cash on hand, to prepay the remaining $60,000 of borrowings outstanding under the 2021 Credit Facility,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which is included within “Accounts payable and accrued liabilities” on the unaudited Condensed Consolidated Balance Sheet as of June 30, 2025.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and provided for up to an additional $60,000 in aggregate principal with the proceeds therefrom to be used to prepay the remaining outstanding balance under, and to terminate, the 2021 Credit Facility. In May 2025, the Company issued an additional $50,000 of term loans pursuant to this provision, as described above.</w:t>
      </w:r>
    </w:p>
    <w:p>
      <w:pPr>
        <w:spacing w:after="0" w:line="74"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73"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6"/>
          <w:szCs w:val="16"/>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June 30,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spacing w:after="0" w:line="79" w:lineRule="exact"/>
        <w:rPr>
          <w:sz w:val="20"/>
          <w:szCs w:val="20"/>
          <w:color w:val="auto"/>
        </w:rPr>
      </w:pPr>
    </w:p>
    <w:p>
      <w:pPr>
        <w:jc w:val="both"/>
        <w:ind w:left="340" w:hanging="332"/>
        <w:spacing w:after="0" w:line="23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this expansion feature (the “2022 Loans”).</w:t>
      </w:r>
    </w:p>
    <w:p>
      <w:pPr>
        <w:spacing w:after="0" w:line="100" w:lineRule="exact"/>
        <w:rPr>
          <w:rFonts w:ascii="Times New Roman" w:cs="Times New Roman" w:eastAsia="Times New Roman" w:hAnsi="Times New Roman"/>
          <w:sz w:val="21"/>
          <w:szCs w:val="21"/>
          <w:color w:val="auto"/>
          <w:vertAlign w:val="superscript"/>
        </w:rPr>
      </w:pPr>
    </w:p>
    <w:p>
      <w:pPr>
        <w:jc w:val="both"/>
        <w:ind w:left="340"/>
        <w:spacing w:after="0" w:line="25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Facility had a maturity date of August 27, 2025 and did not require scheduled principal amortization payments. Prepayments were permitted at any time, subject to a customary make-whole payment or prepayment penalty, as applicable. In June 2024, the 2021 Credit Agreement was amended to, among other things, permit the Company to issue new senior secured notes. In July 2024, the Company prepaid $215,000 of borrowings outstanding under the 2021 Credit Facility (the “July 2024 Prepayment”), primarily utilizing the proceeds from the issuance of the 2024 Term Notes, as discussed above. The Company recognized, as a component of interest expense during the third quarter of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A total of $943 of unamortized deferred financing costs were associated with the portion of the 2021 Credit Facility that was not prepaid and were amortized through the remaining term of those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 total of $60,000 remained outstanding under the 2021 Credit Agreement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w:t>
      </w:r>
    </w:p>
    <w:p>
      <w:pPr>
        <w:spacing w:after="0" w:line="85"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Prior to prepayment, borrowings under the 2021 Credit Facility bore interest at a rate of 9.5% per annum, payable quarterly and, as to any portion of the term loan that is prepaid, on the date of prepayment. We incurred initial financing costs of $8,806 and additional financing costs of $7,606 related to the 2022 Loans, which included warrants issued to certain lenders to acquire 3,130 shares of Class A common stock that had a fair value of $2,639 at issuance. The financing costs were amortized to interest expense over the term of 2021 Credit Facility using the straight-line method which approximated the interest rate method.</w:t>
      </w:r>
    </w:p>
    <w:p>
      <w:pPr>
        <w:spacing w:after="0" w:line="71" w:lineRule="exact"/>
        <w:rPr>
          <w:sz w:val="20"/>
          <w:szCs w:val="20"/>
          <w:color w:val="auto"/>
        </w:rPr>
      </w:pPr>
    </w:p>
    <w:p>
      <w:pPr>
        <w:jc w:val="both"/>
        <w:ind w:left="340"/>
        <w:spacing w:after="0" w:line="298" w:lineRule="auto"/>
        <w:rPr>
          <w:sz w:val="20"/>
          <w:szCs w:val="20"/>
          <w:color w:val="auto"/>
        </w:rPr>
      </w:pPr>
      <w:r>
        <w:rPr>
          <w:rFonts w:ascii="Times New Roman" w:cs="Times New Roman" w:eastAsia="Times New Roman" w:hAnsi="Times New Roman"/>
          <w:sz w:val="16"/>
          <w:szCs w:val="16"/>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occurred.</w:t>
      </w:r>
    </w:p>
    <w:p>
      <w:pPr>
        <w:spacing w:after="0" w:line="43"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6"/>
          <w:szCs w:val="16"/>
          <w:color w:val="auto"/>
        </w:rPr>
        <w:t>The Company was required to comply with two financial covenants under the 2021 Credit Agreement. The Company could not permit its liquidity (defined as unrestricted cash and cash equivalents pledged under the 2021 Credit Facility plus any future revolving credit availability) to be below $20,000 as of the last day of any fiscal quarter. Additionally, the Company could not permit the ratio of Consolidated EBITDA (as defined in the 2021 Credit Agreement) to consolidated cash interest expense for any period of four consecutive fiscal quarters to be less than 2.50:1.00. The Company was in compliance with these covenants, as applicable, through the termination of the 2021 Credit Agreement.</w:t>
      </w:r>
    </w:p>
    <w:p>
      <w:pPr>
        <w:spacing w:after="0" w:line="8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2021 Credit Agreement required the Company to make certain representations and warranties and to comply with customary covenants, including restrictions on the payment of dividends, repurchase of stock, incurrence of indebtedness, dispositions, and acquisitions. The 2021 Credit Agreement also contained customary events of default, which did not occur. The 2021 Credit Facility was guaranteed by all of the Company’s subsidiaries and was secured by substantially all of the assets of the Company and its subsidiaries.</w:t>
      </w:r>
    </w:p>
    <w:p>
      <w:pPr>
        <w:spacing w:after="0" w:line="4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finance leases. See Note 10, “Leases,” for additional information.</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Sellers’ notes consist of amounts owed for acquisitions or other purchases. As of June 30, 2025 and December 31, 2024, sellers’ notes includes the OPA Sellers’ Note which had balance of $11,000 included in “Current portion of debt, net” at each date. The OPA Sellers’ Note was initially recorded net of a discount of $3,010 that was calculated utilizing the Company’s estimated incremental borrowing rate based on the anticipated close date and was accreted to interest expense over an expected term. Additionally, as of June 30, 2025, sellers’ notes includes a total of $7,400 related to acquisitions associated with Core Partnership One, $2,437 associated with Non-Core Partnership Dispensary One, as further described in Note 4, “Acquisitions,” and $1,400 related to acquisitions with other partnerships, as further described in Note 8, “Variable Interest Entities,” which are included within Current portion of debt, net as of June 30, 2025. The amount outstanding as of December 31, 2024 also included the remaining amount payable related to the Massachusetts Purchase Agreement, as further described in Note 4, “Acquisitions,” which was paid during the second quarter of 2025.</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liabilities related to failed sale leaseback transactions. See Note 10, “Leases,” for additional information.</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6"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A total of $1,964 of the ERTC Claim was outstanding as of December 31, 2024 and $1,629 was outstanding as of June 30, 2025, which reflects $335 that was received and repaid during the second quarter of 2025. The corresponding receivable is included in “Other current assets” on the unaudited Condensed Consolidated Balance Sheets and the balance outstanding under the Financing Agreement is included in “Current portion of debt, net” at each respective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 following cash payments are payable under sellers’ notes and term notes: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Remainder of 2025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22,237</w:t>
            </w:r>
          </w:p>
        </w:tc>
      </w:tr>
      <w:tr>
        <w:trPr>
          <w:trHeight w:val="234"/>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15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78" w:lineRule="exact"/>
        <w:rPr>
          <w:rFonts w:ascii="Times New Roman" w:cs="Times New Roman" w:eastAsia="Times New Roman" w:hAnsi="Times New Roman"/>
          <w:sz w:val="21"/>
          <w:szCs w:val="21"/>
          <w:color w:val="auto"/>
          <w:vertAlign w:val="superscript"/>
        </w:rPr>
      </w:pP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b w:val="1"/>
          <w:bCs w:val="1"/>
          <w:color w:val="auto"/>
        </w:rPr>
        <w:t>Interest Expense</w:t>
      </w:r>
    </w:p>
    <w:p>
      <w:pPr>
        <w:spacing w:after="0" w:line="175"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Interest expense during the three and six months ended June 30, 2025 and 2024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17,073</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liability related to failed sale leaseback transactions. See Note 10, “Leases,” for additional details.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and six months ended June 30, 2025 include a loss on extinguishment associated with the May 2025 Prepayment, primarily related to the write-off of unamortized deferred financing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204,961</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203,307</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205,026</w:t>
            </w:r>
          </w:p>
        </w:tc>
      </w:tr>
    </w:tbl>
    <w:p>
      <w:pPr>
        <w:spacing w:after="0" w:line="2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June 30, 2025, a total of 2,723 shares had been repurchased under the Buyback Program for an aggregate cost, inclusive of fees, of $994. As of June 30, 2025, approximately $1,256 worth of share purchases remains available under the Buyback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activity during the six months ended June 30,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7"/>
                <w:szCs w:val="17"/>
                <w:color w:val="auto"/>
              </w:rPr>
            </w:pPr>
          </w:p>
        </w:tc>
        <w:tc>
          <w:tcPr>
            <w:tcW w:w="17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8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(in thousands)</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June 30, 2025</w:t>
            </w:r>
            <w:r>
              <w:rPr>
                <w:rFonts w:ascii="Times New Roman" w:cs="Times New Roman" w:eastAsia="Times New Roman" w:hAnsi="Times New Roman"/>
                <w:sz w:val="23"/>
                <w:szCs w:val="23"/>
                <w:color w:val="auto"/>
                <w:vertAlign w:val="superscript"/>
              </w:rPr>
              <w:t>(2)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warrants outstanding as of June 30, 2025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3.0%. No warrants were exercised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220" w:firstLine="8"/>
        <w:spacing w:after="0" w:line="440"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June 30, 2025, a total of 9,994 Awards had been granted under the 2020 Plan and, as of June 30, 2025,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June 30, 2025, there were 13,123 shares of Class A common stock available for grant for future equity-based compensation awards under the Amended 2021 Plan. Activity related to awards issued under the Amended 2021 Plan is further described below. As of June 30, 2025, no SAR Awards and no RSAs had been granted under the Amended 2021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Life</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2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320" w:type="dxa"/>
            <w:vAlign w:val="bottom"/>
          </w:tcPr>
          <w:p>
            <w:pPr>
              <w:spacing w:after="0"/>
              <w:rPr>
                <w:sz w:val="15"/>
                <w:szCs w:val="15"/>
                <w:color w:val="auto"/>
              </w:rPr>
            </w:pPr>
          </w:p>
        </w:tc>
        <w:tc>
          <w:tcPr>
            <w:tcW w:w="1360" w:type="dxa"/>
            <w:vAlign w:val="bottom"/>
          </w:tcPr>
          <w:p>
            <w:pPr>
              <w:jc w:val="center"/>
              <w:ind w:right="235"/>
              <w:spacing w:after="0" w:line="15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at June 30,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$145 as of June 30, 2025, which is expected to be recognized over a weighted-average remaining period of 1.4 years.</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2025, the Company granted a total of 9,942 of stock options with an exercise price of $0.35, of which 12.5% vested on the grant date and the remaining vest quarterly over a two-year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six months ended June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8"/>
                <w:szCs w:val="18"/>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r>
      <w:tr>
        <w:trPr>
          <w:trHeight w:val="216"/>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June 30,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5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392 vested shares that were withheld to cover tax obligations and were subsequently cancelled.</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cost related to the RSUs was $3,162, which is expected to be recognized over a weighted-average remaining period of 2.2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the Company’s Board approved an award of 3,000 RSUs pursuant to an employment agreement that were not granted as of June 30, 2025 or as of the date of filing of this Quarterly Report on Form 10-Q. These awards, once granted, will be subject to certain vesting conditions, including the achievement of certain stock price targets and continued service to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98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40" w:type="dxa"/>
            <w:vAlign w:val="bottom"/>
          </w:tcPr>
          <w:p>
            <w:pPr>
              <w:jc w:val="right"/>
              <w:ind w:right="53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5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$124 and $3,179, respectively, of expense within “General and administrative expenses” and $164 and $4,336, respectively, within “Cost of goods sold.” During the six months ended June 30, 2025 and 2024, the Company recognized $502 and $9,648, respectively, of expense within “General and administrative expenses” and $1,302 and $6,547, respectively, within “Cost of goods sold.” Of the total equity-based compensation expense, $387 and $2,105 was capitalized to inventory during the three months ended June 30, 2025 and 2024, respectively, and $637 and $6,352 was capitalized during the six months ended June 30, 2025 and 2024, respectively. As of June 30, 2025 and December 31, 2024, $1,437 and $2,102, respectively, remained capitalized in inventory.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3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14"/>
                <w:szCs w:val="14"/>
                <w:color w:val="auto"/>
              </w:rPr>
            </w:pPr>
          </w:p>
        </w:tc>
        <w:tc>
          <w:tcPr>
            <w:tcW w:w="136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(15,331)</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24,616</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56"/>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41,573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93,610</w:t>
            </w:r>
          </w:p>
        </w:tc>
      </w:tr>
      <w:tr>
        <w:trPr>
          <w:trHeight w:val="234"/>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on gross profit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29.1%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2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88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149,407</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172,945</w:t>
            </w:r>
          </w:p>
        </w:tc>
      </w:tr>
      <w:tr>
        <w:trPr>
          <w:trHeight w:val="20"/>
        </w:trPr>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$28,987 of interest and penalties is accrued for the uncertain tax positions as of June 30, 2025, which includes $8,819 related to the current year and $20,168 for prior years, and a total of $20,168 of interest and penalties was accrued as of December 31, 2024, which included $14,744 for the year then ended and $5,424 for prior years.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2025, the U.S. government enacted a reconciliation bill, commonly referred to as the One Big Beautiful Bill Act (the “Act”), with certain provisions of the Act effective in 2025 and other provisions becoming effective in 2026 and beyond. We are in the process of evaluating the impacts of the Act to our consolidated financial statements and disclosures.</w:t>
      </w:r>
    </w:p>
    <w:p>
      <w:pPr>
        <w:spacing w:after="0" w:line="172" w:lineRule="exact"/>
        <w:rPr>
          <w:sz w:val="20"/>
          <w:szCs w:val="20"/>
          <w:color w:val="auto"/>
        </w:rPr>
      </w:pPr>
    </w:p>
    <w:p>
      <w:pPr>
        <w:ind w:right="7520" w:firstLine="8"/>
        <w:spacing w:after="0" w:line="440" w:lineRule="auto"/>
        <w:tabs>
          <w:tab w:leader="none" w:pos="27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June 30, 2025. The total of the Ohio Cultivation Assets was approximately $8,800 as of June 30, 2025, including $4,000 of intangible assets, net, $3,000 of goodwill, $1,200 of inventory, and $300 of property and equipment, net.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A payment of $819 was remitted during the three months ended June 30, 2025, which is included within “Payment of contingent consideration” on the unaudited Condensed Consolidated Statements of Cash Flows and was included within “Accounts payable and accrued liabilities” on the unaudited Condensed Consolidated Balance Sheet at December 31, 2024. As of June 30, 2025, $1,574 is included within “Accounts payable and accrued liabilities” on the unaudited Condensed Consolidated Balance Sheet and $7,607 and $9,200 is included within “Other non-current liabilities” as of June 30, 2025 and December 31,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2025 in all material respects, cannabis regulations continue to evolve and are subject to differing interpretations, and accordingly, the Company may be subject to regulatory fines, penalties, or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2025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previously reported, since 2021 the Company has been engaged in a matter regarding a definitive investment agreement (the “Investment Agreement”) with subsidiaries of MedMen Enterprises Inc. (“MedMen”) regarding an investment in MedMen NY, Inc. (“MMNY”).</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seek damages from MedMen, including, but not limited to, the return of the $4,000 deposit previously paid, approximately $2,400 of advances pursuant to a working capital loan agreement, and other capital expenditure advances paid to MMNY by the Company. In February 2024, the counsel-of-record for MedMen withdrew as counsel and, as of the date of filing of this Form 10-Q, MedMen has not appointed new counsel in this matter. On August 6, 2025, the Company filed a motion for a default judgment against MedMen seeking $10,300 for the prior deposit and working capital advances.</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of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amounts that it has been actively pursuing collecting. During the first quarter of 2024, the Company increased this estimated reserve by $2,703, which is included within “General and administrative expenses” on the unaudited Condensed Consolidated Statements of Operations and within “Other” on the unaudited Condensed Consolidated Statements of Cash Flows for that period. The reserve was further increased by $2,744 during the second quarter of 2024 to reflect all remaining outstanding balances, including amounts due under a working capital advance agreement. Of the total reserve as of each of June 30, 2025 and December 31, 2024, $2,422 is included within “Notes receivable” on the unaudited Condensed Consolidated Balance Sheets, $6,695 is included within “Other current assets,” and the remainder is included within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the six months ended June 30, 2025, other than as disclosed in Note 6, “Notes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management discussion and analysis, which we refer to as the “MD&amp;A,” of the financial condition and results of operations of Ascend Wellness Holdings, Inc. (the “Company,” “AWH,” or “Ascend”) is for the three and six months ended June 30, 2025 and 2024.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2024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June 30, 2025,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and through partnership opportunities, expansion of our current facilities, and increased consumer demand. As of June 30, 2025, we employed approximately 2,300 people.</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June 30, 2025, we produce our consumer packaged goods in seven manufacturing facilities with 257,000 square feet of total canopy. During the three and six months ended June 30, 2025, we sold approximately 56,000 and 112,000 pounds of wholesale product, on a gross basis, respectively, compared to 47,000 and 93,000 pounds during the three and six months ended June 30, 2024, respectively. Our product portfolio consists of a range of cannabis product categories including flower, pre-rolls, concentrates, vapes, edibles, and other cannabis-related products. As of June 30, 2025, we have 44 open and operating retail locations, which includes 6 partner locations. We have fully-financed expansion plans to achieve a target of 60 total retail locations, including partner locations, in the medium-term.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focus on expansion opportunities across the markets in which it operates and remains committed to cost-savings initiatives, improvements in working capital management, and providing an enhanced customer experience. Some of the Company’s recent business highlights include:</w:t>
      </w:r>
    </w:p>
    <w:p>
      <w:pPr>
        <w:spacing w:after="0" w:line="122"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to provide support to additional partner stores, including three that were added to our footprint during the quarter and several related to stores that are expected to be added by the end of the year;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prepaying the remaining $60,000 that was outstanding under the previous credit facility utilizing $10,000 of cash on hand and the funding of $50,000 through new term loans that mature in July 2029,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the period with $95,270 of cash and cash equivalents, an increase of $7,016 year-to-date, primarily driven by the generation of positive net cash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4, “Acquisitions,” in the Financial Statements for additional information regarding the Company’s acquisition-related activity, including previous transactions that remain pending.</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various contractual agreements, the Company is providing funding and operational support to a consolidated variable interest entity (“VIE”) (“Core Partnership One”), which entered into various transactions during the six months ended June 30, 2025, as further described below. Refer to Note 8, “Variable Interest Entities,” in the Financial Statements for additional information regarding the Company’s VIEs, including the Core Partnership One, and certain other transactions.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Core Partnership One Activity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Core Partnership One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(“MSAs”) pursuant to which Core Partnership One will provide management and advisory services for a set fee. These MSAs were subject to regulatory review and approval, which was received in February 2025. Based on the provisions of the agreements, Core Partnership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which was allocated to the licenses acquired as of the effective date. Of the total consideration, $1,000 was paid at signing in December 2024 and is included within “Other non-current assets” on the unaudited Condensed Consolidated Balance Sheet in the Financial Statements as of December 31, 2024. A total of up to $1,500 is expected to be paid upon opening of the associated dispensary locations and a total of up to $1,500 is expected be paid upon final closing of the associated transaction. The total of the remaining payments is included as a sellers’ note; refer to Note 11, “Debt” in the Financial Statements. Additionally, the Company recorded an acquisition-related deferred tax liability of $1,755, which was allocated to the license as additional cost basis as of the effective date. Refer to Note 4, “Acquisitions,” and to Note 8, “Variable Interest Entities,” for additional information.</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Core Partnership One entered into a definitive agreement to acquire a conditional adult-use license, which agreement is subject to regulatory approval. Total cash consideration for this transaction is $1,900, which is due at final closing and is subject to certain closing adjustments. In conjunction with this definitive agreement, the parties entered into certain MSAs under which Core Partnership One will provide certain management and advisory services for a set fee. The parties also entered into a working capital loan and security agreement, under which Core Partnership One may loan up to $3,650 for the build-out of the associated dispensary. Based on the provisions of the MSAs and working capital loan, Core Partnership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in the Financial Statements. The associated dispensary opened in May 2025 and the Company anticipates that closing of the transaction may occur by the end of 2025. Refer to Note 4, “Acquisitions,” and to Note 8,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March 2025, Core Partnership One acquired an entity that owns and operates an adult-use dispensary (“Core Partnership Dispensary Three”) and also entered into a related MSA pursuant to which Core Partnership One will provide certain management and advisory services for a set fee while the underlying transaction is pending regulatory approval. Based on the provisions of this MSA, Core Partnership One obtained operational and financial influence over Core Partnership Dispensary Three and therefore recognized the transaction as a business combination as of the March 2025 regulatory approval date of this MSA. Total cash consideration for this transaction is $1,667, of which $833 was payable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$1,600. Refer to Note 4, “Acquisitions,” and to Note 8, “Variable Interest Entities,” for additional information.</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May 2025, Core Partnership One acquired an entity that owns and operates an adult-use dispensary (“Core Partnership Dispensary Four”) and also entered into a related MSA under which Core Partnership One will provide certain management and advisory services for a set fee while the underlying transaction is pending regulatory approval. Based on the provisions of this MSA, Core Partnership One obtained operational and financial influence over Core Partnership Dispensary Four and therefore recognized the transaction as a business combination as of the May 2025 regulatory approval date of this MSA. Total cash consideration for this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$1,900. Refer to Note 4, “Acquisitions,” and to Note 8, “Variable Interest Entities,” for additional information.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Core Partnership Three Loan Agreement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2025, the Company and a third party (“Core Partnership Three”) entered into a loan agreement pursuant to which the Company may provide to Core Partnership Three up to $2,500 of financing (the “Core Partnership Three Loan Agreement”). The Company has a direct equity ownership interest of 35% of the equity interests in the borrower and the Core Partnership Three Loan Agreement provides the Company with conversion options to obtain up to 100% at any time through the maturity date, subject to certain provisions and as may be permitted by applicable regulations. The Core Partnership Three Loan Agreement also contains certain provisions and restrictive covenants that provide the Company with operational and financial influence over Core Partnership Three and provides the Company with financial distributions based on the associated results of operations. The Company determined that the terms and provisions of the Core Partnership Three Loan Agreement create a variable interest in Core Partnership Three and met the criteria for consolidation as of such date.</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Core Partnership Three entered into a definitive agreement to acquire an entity that received licensing approvals for the operation of an adult-use dispensary for a total of $650 of cash consideration. This agreement is subject to regulatory approval, which is expected to be received within six to twelve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the three and six months ended June 30, 2025. Since the entity is consolidated as a VIE, the intercompany activity related to the Core Partnership Three Loan Agreement is eliminated in consolidation. Refer to Note 8, “Variable Interest Entities,”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Core Partnership Four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March 2025, the Company and a third party (“Core Partnership Four”) entered into a loan agreement pursuant to which the Company may provide to Core Partnership Four up to $2,500 of financing (the “Core Partnership Four Loan Agreement”). The Company has a direct equity ownership interest of 35% of the equity interests in the borrower and the Core Partnership Four Loan Agreement and associated agreements provide the Company with conversion options to obtain up to 100% at any time through the maturity date, subject to certain provisions and as may be permitted by applicable regulations. The Core Partnership Four Loan Agreement also contains provisions and restrictive covenants that provide the Company with operational and financial influence over Core Partnership Four and the underlying operating agreement provides the Company with financial distributions based on the associated results of operations. The Company determined that the terms and provisions of the Core Partnership Four Loan Agreement and associated agreements create a variable interest in Core Partnership Four and met the criteria for consolidation as of such date.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Since the entity is consolidated as a VIE, the intercompany activity related to the Core Partnership Four Loan Agreement is eliminated in consolidation.</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Core Partnership Four entered into a definitive agreement to acquire an entity that received licensing approvals for the operation of an adult-use dispensary, subject to regulatory approval which is expected to be received within six months following the signing date, for a total of $1,500 of cash consideration. Of the total consideration, $250 was paid as a deposit during the fourth quarter of 2024 and was included within “Other current assets” on the unaudited Condensed Consolidated Balance Sheet in the Financial Statements as of December 31, 2024, $250 was paid at signing, and the remaining $1,000 will be paid at final closing and is included as a sellers’ note; refer to Note 11, “Debt” in the Financial Statements. The Company will also assume the lease associated with the dispensary location. Of the total consideration, $1,383 was allocated to the cost of the license as of the effective date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the three and six months ended June 30, 2025. Refer to Note 8, “Variable Interest Entities,” in the Financial Statements for additional information.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Non-Core Partnership Dispensary One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2025, a consolidated VIE of the Company (“Non-Core Partnership One”) entered into a definitive agreement to acquire an adult-use dispensary (“Non-Core Partnership Dispensary One”). The parties also entered into a consulting agreement under which Non-Core Partnership One will provide management and advisory services for a set fee, which became effective in June 2025 and will remain in place until regulatory approval of the definitive agreement is received and the underlying transaction thereby closes. Based on the provisions of this consulting agreement, Non-Core Partnership One obtained operational and financial influence over Non-Core Partnership Dispensary One and therefore recognized the transaction as a business combination as of the June 2025 effective date of this consulting agreement. Total cash consideration for Non-Core Partnership Dispensary One is $3,250, of which $813 was paid at signing and the remainder will be due at final closing, subject to certain closing adjustments. Refer to Note 4, “Acquisitions,” and to Note 8, “Variable Interest Entities,” for additional information.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$14,232, or 10%, during the three months ended June 30, 2025, as compared to the three months ended June 30, 2024, primarily driven by declines across our legacy business resulting from increased competition and pricing pressure in most of our markets, slightly offset by incremental revenue from acquisitions and partnerships.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$1,002 during the three months ended June 30, 2025, as compared to $1,522 during the three months ended June 30, 2024, primarily resulting from improved margins and reduced general and administrative expenses, which were largely attributable to certain strategic initiatives implemented during the second half of 2024.</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 in cash and cash equivalents of $7,016 during the six months ended June 30, 2025, primarily driven by improvements in working capital management, partially offset by investments in capital assets and payments associated with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with the Three Months Ended June 30, 2024</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5"/>
                <w:szCs w:val="15"/>
                <w:color w:val="auto"/>
              </w:rPr>
            </w:pPr>
          </w:p>
        </w:tc>
        <w:tc>
          <w:tcPr>
            <w:tcW w:w="150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31"/>
              <w:spacing w:after="0" w:line="156"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127,304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141,536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(85,912)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(99,963)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41,573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14"/>
        </w:trPr>
        <w:tc>
          <w:tcPr>
            <w:tcW w:w="2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42,394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43,095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(11,574)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(12,106)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(21,784)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decreased by $14,232 during the three months ended June 30, 2025, as compared to the three months ended June 30, 2024. Net revenue from our wholesale operations declined by $7,613 resulting from increased competition and price compression across certain markets, particularly in Illinois and New Jersey, as well as from an increased focus on selling products through Company-owned and partner stores. During the three months ended June 30, 2025, we sold approximately 56,000 pounds of wholesale product, on a gross basis, compared to 47,000 pounds during the three months ended June 30, 2024. Revenue across legacy dispensary locations declined by $14,396, primarily driven by softness in Illinois and New Jersey that was partially offset by a benefit from adult-use sales in Ohio which began during the third quarter of 2024. Additionally, the decrease was partially offset by a contribution of $5,110 of incremental revenue from partner stores and by $2,667 of incremental revenue from new store openings that occurred in the second half of 2024 that were associated with previously acquired licenses.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goods sold decreased by $14,051 during the three months ended June 30, 2025, as compared to the three months ended June 30, 2024. Cost of goods sold represents direct and indirect expenses attributable to the production of wholesale products as well as direct expenses incurred in purchasing products from other wholesalers. Gross profit for the three months ended June 30, 2025 was $41,392, representing a gross margin of 32.5%, compared to gross profit of $41,573 and gross margin of 29.4% for the three months ended June 30, 2024. Gross margin for the current quarter benefited from improved realization at certain cultivation facilities, primarily Illinois and Massachusetts, and a benefit from a higher volume of Company-produced products sold through our retail stores. These benefits were largely offset by an impact from increased competition and pricing pressure across most of our markets, as well as a shift in mix between retail and wholesale products. The current period was also impacted by $5,142 of higher write-downs of certain inventory items related to net realizable value adjustments, expired products, and obsolete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$701, or 2%, during the three months ended June 30, 2025, as compared to the three months ended June 30, 2024. The decrease was primarily driven by $405 of lower professional services fees resulting from certain cost-savings initiatives and the absence of a $2,744 reserve recognized in the prior year related to certain amounts associated with a previous transaction. These benefits were partially offset by $1,943 of higher overhead expenses, primarily associated with the expansion of operations, and $673 of higher depreciation and amortization, which was attributable to a larger average balance of fixed assets in service and the incremental amortization of licenses from prior year acquisitions.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increased by $3,523, or 41%, during the three months ended June 30, 2025, as compared to the three months ended June 30, 2024, primarily driven by higher cash interest expense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During the three months ended June 30, 2025, the Company had a weighted-average outstanding debt balance of $346,661 with a weighted-average interest rate of 11.6%, excluding finance leases, compared to a weighted-average debt balance of $312,923 during the three months ended June 30, 2024 with a weighted-average interest rate of 9.5%.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June 30, 2025, the Company recorded an uncertain tax liability totaling $172,945 for uncertain tax positions related to the treatment of certain transactions and deductions under IRC Section 280E based on legal interpretations that challenge the Company’s tax liability under IRC Section 280E.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statutory federal tax rate was 21% during both periods. The Company has operations in seven U.S. geographic markets: Illinois, Maryland, Massachusetts, Michigan, New Jersey, Ohio,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$11,831, or 28.6%, of gross profit, during the three months ended June 30, 2025, as compared to $12,106, or 29.1%, of gross profit, during the three months ended June 30, 2024. The effective tax rate on gross profit for the three months ended June 30, 2025 benefited from an incremental impact attributable to the tax treatment of certain acquired intangible assets, partially offset by higher penalties and interest due on tax payments and uncertain tax positions. Refer to Note 14, “Income Taxes,” in the Financial Statements for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with the Six Months Ended June 30, 2024</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40" w:type="dxa"/>
            <w:vAlign w:val="bottom"/>
          </w:tcPr>
          <w:p>
            <w:pPr>
              <w:spacing w:after="0"/>
              <w:rPr>
                <w:sz w:val="15"/>
                <w:szCs w:val="15"/>
                <w:color w:val="auto"/>
              </w:rPr>
            </w:pPr>
          </w:p>
        </w:tc>
        <w:tc>
          <w:tcPr>
            <w:tcW w:w="150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255,301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283,946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(174,348)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(190,336)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80,953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93,610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14"/>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79,469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92,557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(23,248)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(17,073)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(22,287)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(16,384)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(24,616)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(43,665)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(39,947)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decreased by $28,645, or 10%, during the six months ended June 30, 2025, as compared to the six months ended June 30, 2024. Revenue across legacy dispensary locations declined by $32,342 across our legacy locations, primarily driven by softness in Illinois and New Jersey that was partially offset by a benefit from adult-use sales in Ohio which began during the third quarter of 2024. Additionally, the decrease was partially offset by a contribution of $8,329 of incremental revenue from partner stores and by $6,541 of incremental revenue from new store openings that occurred in the second half of 2024 that were associated with previously acquired licenses. Net revenue from our wholesale operations declined by $11,173 resulting from increased competition and price compression across certain markets, particularly in Illinois and New Jersey, as well as from an increased focus on selling products through Company-owned and partner stores. During the six months ended June 30, 2025, we sold approximately 112,000 pounds of wholesale product, on a gross basis, compared to 93,000 pounds during the six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goods sold decreased by $15,988, or 8%, during the six months ended June 30, 2025, as compared to the six months ended June 30, 2024. Cost of goods sold represents direct and indirect expenses attributable to the production of wholesale products as well as direct expenses incurred in purchasing products from other wholesalers. Gross profit for the six months ended June 30, 2025 was $80,953, representing a gross margin of 31.7%, compared to gross profit of $93,610 and gross margin of 33.0% for the six months ended June 30, 2024. Gross margin in the current year was impacted by increased competition and pricing pressure across most of our markets, particularly in New Jersey and Illinois, as well as a shift in mix between retail and wholesale products. These impacts were partially offset by improved realization at certain cultivation facilities, primarily Illinois and Massachusetts, and benefit from a higher volume of Company-produced products sold through our retail stores. The current period was also impacted by $6,442 of higher write-downs of certain inventory items related to net realizable value adjustments, expired products, and obsolete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$13,088, or 14%, during the six months ended June 30, 2025, as compared to the six months ended June 30, 2024. The decrease was primarily driven by:</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$7,622 decrease in total compensation expense, including $9,146 lower equity-based compensation expense that was largely due to the acceleration of certain awards in the prior year and from strategic streamlining initiatives that were implemented in late 2024, partially offset by slightly higher headcount in the current year due to the expansion of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$5,447 estimated reserve recognized in the prior year related to certain amounts associated with a previous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$984 discount on a long-term receivable recognized in the prior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of lower professional service fees resulting from certain cost-savings initiatives.</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decreases were partially offset by a $1,955 increase in overhead expenses, primarily associated with the expansion of operations, and a $655 increase in depreciation and amortization expense, which was attributable to a larger average balance of fixed assets in service.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increased by $6,175, or 36%, during the six months ended June 30, 2025, as compared to the six months ended June 30, 2024, primarily driven by higher cash interest expense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During the six months ended June 30, 2025, the Company had a weighted-average outstanding debt balance of $345,027 with a weighted-average interest rate of 11.6%, excluding finance leases, compared to a weighted-average debt balance of $314,149 during the six months ended June 30, 2024 with a weighted-average interest rate of 9.5%.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$22,862, or 28.2%, of gross profit, during the six months ended June 30, 2025, as compared to $24,616, or 26.3%, of gross profit, during the six months ended June 30, 2024. The effective tax rate on gross profit for the six months ended June 30, 2025 was impacted by higher penalties and interest due on tax payments and uncertain tax positions,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the three and six months ended June 30,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14"/>
                <w:szCs w:val="14"/>
                <w:color w:val="auto"/>
              </w:rPr>
            </w:pPr>
          </w:p>
        </w:tc>
        <w:tc>
          <w:tcPr>
            <w:tcW w:w="132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41,573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80,953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93,610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included in cost of</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goods sold</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18,281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14,767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Equity-based compensation included in cost of</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goods sold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53,014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107,452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115,398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Gross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three and six months ended June 30,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14"/>
                <w:szCs w:val="14"/>
                <w:color w:val="auto"/>
              </w:rPr>
            </w:pPr>
          </w:p>
        </w:tc>
        <w:tc>
          <w:tcPr>
            <w:tcW w:w="134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(24,407)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(21,784)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(43,665)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12,106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24,616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23,248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17,073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36,230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32,061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Transaction-related and other non-recurring</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60,821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unallocated overhead expenses at certain cultivation facilities, and other expenses resulting from delays in regulatory approvals.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expenses including legal and professional fees associated with litigation matters, potential acquisitions, other regulatory matters, and other reserves or one-time expenses. The three and six months ended June 30, 2025 each include approximately $700 of expenses associated with our May 2025 term loans and the six months ended June 30, 2025 includes approximately $400 of expenses associated with our January 2025 term loans. The three and six months ended June 30, 2025 also each include approximately $100 of fair value adjustments associated with acquisition earn-outs. The three and six months ended June 30, 2024 include a reserve of $2,744 and $5,774, respectively, related to certain amounts associated with a previous transaction and $490 and $630, respectively, of fair value adjustments related to an acquisition earn-out. The six months ended June 30, 2024 also includes $984 recognized as a discount on a noncurrent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and we subsequently borrowed an additional $65,000 during the second quarter of 2022.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 and in May 2025 we issued an additional $50,000, in aggregate principal of term loans, which proceeds were utilized, along with cash on hand, to prepay the remaining $60,000 then-outstanding under our previous credit facility, as discussed further below.</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we had total current liabilities of $100,790 and $144,541, respectively, and total current assets of $225,654 and $229,376, respectively, which includes cash and cash equivalents of $95,270 and $88,254, respectively, to meet our current obligations. As of June 30, 2025, we had working capital of $124,864, compared to $84,835 as of December 31, 2024.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94% and 93% of our cash and cash equivalents balance as of June 30, 2025 and December 31, 2024,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June 30, 2025 and December 31, 2024, as well as a net loss for the six months ended June 30,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 Offering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The July 2024 Loan Agreement permitted the Company, subject to certain limitations, to issue additional notes thereunder, including up to an additional $60,000 in aggregate principal, with the proceeds therefrom to be used to prepay the remaining outstanding balance under, and to terminate, the 2021 Credit Facility.</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In May 2025, the Company issued an additional $50,000, in aggregate principal, of term notes (the “May 2025 Term Notes” and, together with the January 2025 Term Notes and the July 2024 Term Notes, the “2024 Term Notes”) which proceeds were utilized, along with cash on hand, to prepay the remaining $60,000 of borrowings outstanding under the 2021 Credit Facility, as further described below. The January 2025 Term Notes and the May 2025 Term Notes were funded by existing lenders and met the criteria for modification accounting treatment. The total of the original issue discount and other capitalized direct financing fees was approximately $700 for the January 2025 Term Notes and $1,600 for the May 2025 Term Notes, which amounts will be amortized over the associated terms using the straight-line method, which approximates the interest method. The Company incurred approximately $400 of other expenses associated with the January 2025 Term Notes and $700 associated with the May 2025 Term Notes which were not capitalizable and are included within “General and administrative expenses” on the unaudited Condensed Consolidated Statements of Operations in the Financial Statements for the respective periods.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which is included within “Accounts payable and accrued liabilities” on the unaudited Condensed Consolidated Balance Sheet in the Financial Statements as of June 30, 2025.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June 30,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spacing w:after="0" w:line="133" w:lineRule="exact"/>
        <w:rPr>
          <w:sz w:val="20"/>
          <w:szCs w:val="20"/>
          <w:color w:val="auto"/>
        </w:rPr>
      </w:pPr>
    </w:p>
    <w:p>
      <w:pPr>
        <w:ind w:right="1660" w:firstLine="648"/>
        <w:spacing w:after="0" w:line="438" w:lineRule="auto"/>
        <w:rPr>
          <w:sz w:val="20"/>
          <w:szCs w:val="20"/>
          <w:color w:val="auto"/>
        </w:rPr>
      </w:pPr>
      <w:r>
        <w:rPr>
          <w:rFonts w:ascii="Times New Roman" w:cs="Times New Roman" w:eastAsia="Times New Roman" w:hAnsi="Times New Roman"/>
          <w:sz w:val="18"/>
          <w:szCs w:val="18"/>
          <w:color w:val="auto"/>
        </w:rPr>
        <w:t xml:space="preserve">Refer to Note 11, “Debt,” in the Financial Statements for additional information regarding the Company’s debt transactions. </w:t>
      </w:r>
      <w:r>
        <w:rPr>
          <w:rFonts w:ascii="Times New Roman" w:cs="Times New Roman" w:eastAsia="Times New Roman" w:hAnsi="Times New Roman"/>
          <w:sz w:val="18"/>
          <w:szCs w:val="18"/>
          <w:b w:val="1"/>
          <w:bCs w:val="1"/>
          <w:i w:val="1"/>
          <w:iCs w:val="1"/>
          <w:color w:val="auto"/>
        </w:rPr>
        <w:t>Credit Facility</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2021 Credit Facility had a maturity date of August 27, 2025 and did not require scheduled principal amortization payments. Prepayments were permitted at any time, subject to a customary make-whole payment or prepayment penalty, as applicable. In July 2024, the Company prepaid $215,000 of borrowings outstanding under the 2021 Credit Facility (the “July 2024 Prepayment”), primarily utilizing the proceeds from the issuance of the 2024 Term Notes, as discussed above. The Company recognized, as a component of interest expense during the third quarter of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A total of $943 of unamortized deferred financing costs were associated with the portion of the 2021 Credit Facility that was not prepaid and were amortized through the remaining term of those loans.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$60,000 remained outstanding under the 2021 Credit Agreement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 Refer to Note 11, “Debt,” in the Financial Statements for additional information regarding the 2021 Credit Facility and the Company’s other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36,154</w:t>
            </w:r>
          </w:p>
        </w:tc>
      </w:tr>
      <w:tr>
        <w:trPr>
          <w:trHeight w:val="257"/>
        </w:trPr>
        <w:tc>
          <w:tcPr>
            <w:tcW w:w="2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r>
      <w:tr>
        <w:trPr>
          <w:trHeight w:val="257"/>
        </w:trPr>
        <w:tc>
          <w:tcPr>
            <w:tcW w:w="20" w:type="dxa"/>
            <w:vAlign w:val="bottom"/>
            <w:shd w:val="clear" w:color="auto" w:fill="CCEEFF"/>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$12,414 during the six months ended June 30, 2025, as compared to the six months ended June 30, 2024. The prior year includes a benefit from tax refunds totaling approximately $17,800 and the current year reflects improvements in working capital management, including a net benefit from the collection of receivables and the timing of payments to suppliers and vendors.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Net cash used in investing activities decreased by $2,427 during the six months ended June 30, 2025, as compared to the six months ended June 30, 2024. The prior year includes the collection of a note receivable, whereas the current year benefited from lower payments associated with acquisitions.</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$288 during the six months ended June 30, 2025, as compared to $6,086 during the six months ended June 30, 2024. The current period reflects the receipt of proceeds from the issuance of the January 2025 Term Notes and May 2025 Term Notes, net of related financing costs, largely offset by the May 2025 Prepayment and repurchases of common stock. The prior year primarily reflects the remittance of taxes withheld under equity-based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June 30,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2026 - 2027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2028 - 2029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423,193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as of June 30, 2025. Refer to Note 11, “Debt,” in the Financial Statements for additional information.</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our term notes payable based on the principal outstanding as of June 30, 2025. Interest payments could fluctuate based on prepayments or additional amounts borrowed.</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 leaseback treatment. Refer to Note 10, “Leases,” in the Financial Statements for additional information.</w:t>
      </w:r>
    </w:p>
    <w:p>
      <w:pPr>
        <w:spacing w:after="0" w:line="87"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excludes up to a total of $10,000 that we expect to fund under a research collaboration agreement associated with a prior acquisition and of which $819 was remitted during the second quarter of 2025. The remainder will be based on a percentage of annual revenue through April 2031, unless satisfied earlier. Refer to Note 15, “Commitments and Contingencies,” in the Financial Statements for additional information.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totaling approximately $30,000 to $35,000 for 2025.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 construction costs for the initial build-out of each location, general maintenance costs, and upgrades to existing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we expect to build out additional dispensaries across our network, including partner dispensaries. We also anticipate completing certain expansion projects across our cultivation facilities in addition to other enhancements and general maintenance activities across our portfolio. Management expects to fund capital expenditures primarily by utilizing cash flows from operations.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our construction in progress (“CIP”) balance was $10,539 and relates to capital spending on projects that were not yet complete. This balance includes amounts related to certain expansion projects at our New Jersey, Illinois, and Massachusetts cultivation facilities, partner dispensary build-outs,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June 30, 2025, a total of 2,723 shares had been repurchased under the Buyback Program for an aggregate cost, inclusive of fees, of $994. As of June 30, 2025, approximately $1,256 worth of share purchases remains available under the Buyback Program. Refer to Note 12, “Stockholders’ Equity,” in the Financial Statements for additional information regarding the Company’s capital structure.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June 30, 2025, there were 13,123 shares of Class A common stock available for grant for future awards under the Amended 2021 Plan.</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 total of 225 RSUs under the Amended 2021 Plan and a total of 4,075 granted are unvested as of June 30, 2025. Total unrecognized compensation cost related to the RSUs was $3,162 as of June 30, 2025, which is expected to be recognized over a weighted-average remaining period of 2.2 years.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a total of 3,126 stock option awards are outstanding under the Amended 2021 Plan, of which 2,841 are exercisable. No options were granted during the six months ended June 30, 2025 and none were exercised. As of June 30, 2025, the outstanding options have a remaining weighted-average contractual life of 2.4 years and total unrecognized compensation cost related to unvested options was $145, which is expected to be recognized over a weighted-average remaining period of 1.4 years. In July 2025, the Company granted a total of 9,942 of stock options with an exercise price of $0.35, of which 12.5% vested on the grant date and the remaining vest quarterly over a two-year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$124 and $3,179, respectively, of equity-based compensation expense within “General and administrative expenses” on the unaudited Condensed Consolidated Statements of Operations in the Financial Statements and recognized $1,302 and $6,547, respectively, within “Cost of goods sold.” During the six months ended June 30, 2025 and 2024, the Company recognized $502 and $9,648, respectively, of expense within “General and administrative expenses” and $1,302 and $6,547, respectively, within “Cost of goods sold.”</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June 30, 2025,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information regarding the Company’s leases and lease-related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15, “Commitments and Contingencies,” in the Financial Statements for information regarding the Company’s significant 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Transactions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Non-Core Partnership One entered into a definitive agreement through which it anticipates acquiring two adult-use dispensaries, subject to certain closing conditions, including regulatory approval which had not been received as of June 30, 2025. Total cash consideration for this transaction is $7,850, subject to certain closing adjustments, including the settlement of a note outstanding, and of which $250 was paid at signing. This transaction also provides for an earn-out payment, payable in cash, in an amount equal to the lesser of $2,000 or three times the Annual EBITDA (as defined) during the one-year period following closing. Refer to Note 8, “Variable Interest Entities,” in the Financial Statements for additional information.</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June 30, 2025. The total of the Ohio Cultivation Assets was approximately $8,800 as of June 30, 2025, including $4,000 of intangible assets, net, $3,000 of goodwill, $1,200 of inventory, and $300 of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discussed in our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recently issued accounting standards that have not yet been adopted, see Note 2, “Basis of Presentation and Significant Accounting Policies,” to the Financial Statements.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June 30, 2025 and December 31, 2024, as well as a net loss for the six months ended June 30,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discussion of our litigation matters occurring in the period covered by this report is found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“Commitments and Contingencies,” to the Financial Statements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our Annual Report on Form 10-K for the year ended December 31, 2024, in response to Item 1A., “Risk Factors,” of Part I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June 30, 2025, and from the period from July 1, 2025 to the filing date of this report, which have not been previously disclosed in a prior Quarterly Report on Form 10-Q or Current Report on Form 8-K.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second quarter of 2025, we purchased shares of our Class A common stock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Out</w:t>
            </w:r>
          </w:p>
        </w:tc>
        <w:tc>
          <w:tcPr>
            <w:tcW w:w="0" w:type="dxa"/>
            <w:vAlign w:val="bottom"/>
          </w:tcPr>
          <w:p>
            <w:pPr>
              <w:spacing w:after="0"/>
              <w:rPr>
                <w:sz w:val="1"/>
                <w:szCs w:val="1"/>
                <w:color w:val="auto"/>
              </w:rPr>
            </w:pPr>
          </w:p>
        </w:tc>
      </w:tr>
      <w:tr>
        <w:trPr>
          <w:trHeight w:val="189"/>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2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Repurchase Plans</w:t>
            </w:r>
          </w:p>
        </w:tc>
        <w:tc>
          <w:tcPr>
            <w:tcW w:w="0" w:type="dxa"/>
            <w:vAlign w:val="bottom"/>
          </w:tcPr>
          <w:p>
            <w:pPr>
              <w:spacing w:after="0"/>
              <w:rPr>
                <w:sz w:val="1"/>
                <w:szCs w:val="1"/>
                <w:color w:val="auto"/>
              </w:rPr>
            </w:pPr>
          </w:p>
        </w:tc>
      </w:tr>
      <w:tr>
        <w:trPr>
          <w:trHeight w:val="229"/>
        </w:trPr>
        <w:tc>
          <w:tcPr>
            <w:tcW w:w="3340" w:type="dxa"/>
            <w:vAlign w:val="bottom"/>
            <w:gridSpan w:val="2"/>
            <w:vMerge w:val="continue"/>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4"/>
              </w:rPr>
              <w:t>(in thousands)</w:t>
            </w:r>
            <w:r>
              <w:rPr>
                <w:rFonts w:ascii="Times New Roman" w:cs="Times New Roman" w:eastAsia="Times New Roman" w:hAnsi="Times New Roman"/>
                <w:sz w:val="23"/>
                <w:szCs w:val="23"/>
                <w:b w:val="1"/>
                <w:bCs w:val="1"/>
                <w:color w:val="auto"/>
                <w:w w:val="94"/>
                <w:vertAlign w:val="superscript"/>
              </w:rPr>
              <w:t>(1)(2)</w:t>
            </w: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40" w:hanging="332"/>
        <w:spacing w:after="0"/>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2024, the Company’s Board of Directors authorized a share buyback program (the “Buyback Program”) which permits the Company to repurchase up to the lesser of (i) approximately 10.216 million shares of the Company’s Class A common stock; and (ii) $2.25 million worth of shares of Class A common stock, in the open market pursuant to a normal course issuer bid, subject to applicable legal, regulatory, and contractual requirements. The Buyback Program will expire on January 1, 2026 and may be suspended, terminated, or modified at any time for any reason and the Company is under no obligation to purchase any such shares for the duration of the Buyback Program. See Note 12, “Stockholders’ Equity,” in the Notes to the unaudited Condensed Consolidated Financial Statements for additional information.</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the last day of the respective period. Includes plan administration fee.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 INDEX</w:t>
      </w:r>
    </w:p>
    <w:p>
      <w:pPr>
        <w:spacing w:after="0" w:line="164"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0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4.4</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4.7</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900" w:type="dxa"/>
            <w:vAlign w:val="bottom"/>
            <w:gridSpan w:val="25"/>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172"/>
        </w:trPr>
        <w:tc>
          <w:tcPr>
            <w:tcW w:w="4800" w:type="dxa"/>
            <w:vAlign w:val="bottom"/>
            <w:tcBorders>
              <w:top w:val="single" w:sz="8" w:color="auto"/>
            </w:tcBorders>
            <w:gridSpan w:val="24"/>
          </w:tcPr>
          <w:p>
            <w:pPr>
              <w:spacing w:after="0" w:line="17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Certificate of Incorporation</w:t>
              </w:r>
            </w:hyperlink>
          </w:p>
        </w:tc>
        <w:tc>
          <w:tcPr>
            <w:tcW w:w="10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4"/>
                <w:szCs w:val="14"/>
                <w:color w:val="auto"/>
              </w:rPr>
            </w:pPr>
          </w:p>
        </w:tc>
        <w:tc>
          <w:tcPr>
            <w:tcW w:w="1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50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Bylaws</w:t>
              </w:r>
            </w:hyperlink>
          </w:p>
        </w:tc>
        <w:tc>
          <w:tcPr>
            <w:tcW w:w="1280" w:type="dxa"/>
            <w:vAlign w:val="bottom"/>
            <w:tcBorders>
              <w:top w:val="single" w:sz="8" w:color="0000FF"/>
            </w:tcBorders>
          </w:tcPr>
          <w:p>
            <w:pPr>
              <w:spacing w:after="0"/>
              <w:rPr>
                <w:sz w:val="19"/>
                <w:szCs w:val="19"/>
                <w:color w:val="auto"/>
              </w:rPr>
            </w:pPr>
          </w:p>
        </w:tc>
        <w:tc>
          <w:tcPr>
            <w:tcW w:w="3120" w:type="dxa"/>
            <w:vAlign w:val="bottom"/>
            <w:gridSpan w:val="23"/>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25"/>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Specimen Stock Certificate evidencing the shares of common stock</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26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Form of Registration Rights Agreement</w:t>
              </w:r>
            </w:hyperlink>
          </w:p>
        </w:tc>
        <w:tc>
          <w:tcPr>
            <w:tcW w:w="1780" w:type="dxa"/>
            <w:vAlign w:val="bottom"/>
            <w:tcBorders>
              <w:top w:val="single" w:sz="8" w:color="0000FF"/>
            </w:tcBorders>
            <w:gridSpan w:val="11"/>
          </w:tcPr>
          <w:p>
            <w:pPr>
              <w:spacing w:after="0"/>
              <w:rPr>
                <w:sz w:val="19"/>
                <w:szCs w:val="19"/>
                <w:color w:val="auto"/>
              </w:rPr>
            </w:pPr>
          </w:p>
        </w:tc>
        <w:tc>
          <w:tcPr>
            <w:tcW w:w="520" w:type="dxa"/>
            <w:vAlign w:val="bottom"/>
            <w:gridSpan w:val="11"/>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25"/>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Form of Warrant Agreement between Ascend Wellness Holdings, Inc.</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15, 2022</w:t>
            </w:r>
          </w:p>
        </w:tc>
      </w:tr>
      <w:tr>
        <w:trPr>
          <w:trHeight w:val="142"/>
        </w:trPr>
        <w:tc>
          <w:tcPr>
            <w:tcW w:w="33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and each of the several lenders, dated June 30, 2022</w:t>
              </w:r>
            </w:hyperlink>
          </w:p>
        </w:tc>
        <w:tc>
          <w:tcPr>
            <w:tcW w:w="11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25"/>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Indenture dated July 16, 2024 by and between Ascend Wellness</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8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Holdings, Inc. and Odyssey Trust Company</w:t>
              </w:r>
            </w:hyperlink>
          </w:p>
        </w:tc>
        <w:tc>
          <w:tcPr>
            <w:tcW w:w="13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25"/>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Guaranty dated July 16, 2024 by and between Chicago Alternative</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432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Health Center, LLC, HealthCentral, LLC, MOCA LLC, Revolution</w:t>
              </w:r>
            </w:hyperlink>
          </w:p>
        </w:tc>
        <w:tc>
          <w:tcPr>
            <w:tcW w:w="6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380" w:type="dxa"/>
            <w:vAlign w:val="bottom"/>
            <w:gridSpan w:val="14"/>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Cannabis-Barry, LLC, The Homecoming Group, LLC, Ascend</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0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Maryland, LLC, Ascend Mass, LLC, MassGrow, LLC, FPAW</w:t>
              </w:r>
            </w:hyperlink>
          </w:p>
        </w:tc>
        <w:tc>
          <w:tcPr>
            <w:tcW w:w="820" w:type="dxa"/>
            <w:vAlign w:val="bottom"/>
            <w:gridSpan w:val="17"/>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Michigan</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7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LLC, Ascend New Jersey, LLC, BCCO, LLC, Ohio Cannabis Clinic</w:t>
              </w:r>
            </w:hyperlink>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8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LLC, and Story of PA CR, LLC (collectively, the “Guarantors”)</w:t>
              </w:r>
            </w:hyperlink>
          </w:p>
        </w:tc>
        <w:tc>
          <w:tcPr>
            <w:tcW w:w="2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4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Pledge and Security Agreement dated July 16, 2024 by and between</w:t>
              </w:r>
            </w:hyperlink>
          </w:p>
        </w:tc>
        <w:tc>
          <w:tcPr>
            <w:tcW w:w="460" w:type="dxa"/>
            <w:vAlign w:val="bottom"/>
            <w:gridSpan w:val="10"/>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4900" w:type="dxa"/>
            <w:vAlign w:val="bottom"/>
            <w:gridSpan w:val="25"/>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Ascend Wellness Holdings, Inc., and Revolution Cannabis-Barry, LLC,</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64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Chicago Alternative Health Center, LLC, MOCA LLC, Healthcentral,</w:t>
              </w:r>
            </w:hyperlink>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54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LLC, The Homecoming Group, LLC, Ascend Mass, LLC, Massgrow,</w:t>
              </w:r>
            </w:hyperlink>
          </w:p>
        </w:tc>
        <w:tc>
          <w:tcPr>
            <w:tcW w:w="40" w:type="dxa"/>
            <w:vAlign w:val="bottom"/>
            <w:tcBorders>
              <w:top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900" w:type="dxa"/>
            <w:vAlign w:val="bottom"/>
            <w:gridSpan w:val="25"/>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LLC, FPAW Michigan, LLC, BCCO, LLC, Ohio Cannabis Clinic LLC,</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66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Ascend New Jersey, LLC, Story Of PA CR, LLC, Ascend Maryland,</w:t>
              </w:r>
            </w:hyperlink>
          </w:p>
        </w:tc>
        <w:tc>
          <w:tcPr>
            <w:tcW w:w="24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4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LLC, Ascend Mass, Inc., Ascend Illinois Holdings, LLC, Ascend</w:t>
              </w:r>
            </w:hyperlink>
          </w:p>
        </w:tc>
        <w:tc>
          <w:tcPr>
            <w:tcW w:w="40" w:type="dxa"/>
            <w:vAlign w:val="bottom"/>
          </w:tcPr>
          <w:p>
            <w:pPr>
              <w:spacing w:after="0"/>
              <w:rPr>
                <w:sz w:val="12"/>
                <w:szCs w:val="12"/>
                <w:color w:val="auto"/>
              </w:rPr>
            </w:pPr>
          </w:p>
        </w:tc>
        <w:tc>
          <w:tcPr>
            <w:tcW w:w="4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2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Illinois, LLC, Massgrow, Inc., AWH Pennsylvania, LLC, FPAW</w:t>
              </w:r>
            </w:hyperlink>
          </w:p>
        </w:tc>
        <w:tc>
          <w:tcPr>
            <w:tcW w:w="260" w:type="dxa"/>
            <w:vAlign w:val="bottom"/>
            <w:gridSpan w:val="5"/>
          </w:tcPr>
          <w:p>
            <w:pPr>
              <w:spacing w:after="0"/>
              <w:rPr>
                <w:sz w:val="12"/>
                <w:szCs w:val="12"/>
                <w:color w:val="auto"/>
              </w:rPr>
            </w:pPr>
          </w:p>
        </w:tc>
        <w:tc>
          <w:tcPr>
            <w:tcW w:w="4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Michigan 2, Inc., as the initial grantors (collectively, the “Initial</w:t>
              </w:r>
            </w:hyperlink>
          </w:p>
        </w:tc>
        <w:tc>
          <w:tcPr>
            <w:tcW w:w="320" w:type="dxa"/>
            <w:vAlign w:val="bottom"/>
            <w:gridSpan w:val="6"/>
          </w:tcPr>
          <w:p>
            <w:pPr>
              <w:spacing w:after="0"/>
              <w:rPr>
                <w:sz w:val="12"/>
                <w:szCs w:val="12"/>
                <w:color w:val="auto"/>
              </w:rPr>
            </w:pPr>
          </w:p>
        </w:tc>
        <w:tc>
          <w:tcPr>
            <w:tcW w:w="4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Grantors”), and Odyssey Trust Company</w:t>
              </w:r>
            </w:hyperlink>
          </w:p>
        </w:tc>
        <w:tc>
          <w:tcPr>
            <w:tcW w:w="360" w:type="dxa"/>
            <w:vAlign w:val="bottom"/>
            <w:gridSpan w:val="8"/>
          </w:tcPr>
          <w:p>
            <w:pPr>
              <w:spacing w:after="0"/>
              <w:rPr>
                <w:sz w:val="12"/>
                <w:szCs w:val="12"/>
                <w:color w:val="auto"/>
              </w:rPr>
            </w:pPr>
          </w:p>
        </w:tc>
        <w:tc>
          <w:tcPr>
            <w:tcW w:w="4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
        </w:trPr>
        <w:tc>
          <w:tcPr>
            <w:tcW w:w="2660" w:type="dxa"/>
            <w:vAlign w:val="bottom"/>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4900" w:type="dxa"/>
            <w:vAlign w:val="bottom"/>
            <w:gridSpan w:val="25"/>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First Supplemental Indenture dated January 13, 2025 by and between</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2025</w:t>
            </w:r>
          </w:p>
        </w:tc>
      </w:tr>
      <w:tr>
        <w:trPr>
          <w:trHeight w:val="142"/>
        </w:trPr>
        <w:tc>
          <w:tcPr>
            <w:tcW w:w="40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Ascend Wellness Holdings, Inc. and Odyssey Trust Company</w:t>
              </w:r>
            </w:hyperlink>
          </w:p>
        </w:tc>
        <w:tc>
          <w:tcPr>
            <w:tcW w:w="500" w:type="dxa"/>
            <w:vAlign w:val="bottom"/>
            <w:tcBorders>
              <w:top w:val="single" w:sz="8" w:color="0000FF"/>
            </w:tcBorders>
            <w:gridSpan w:val="10"/>
          </w:tcPr>
          <w:p>
            <w:pPr>
              <w:spacing w:after="0"/>
              <w:rPr>
                <w:sz w:val="12"/>
                <w:szCs w:val="12"/>
                <w:color w:val="auto"/>
              </w:rPr>
            </w:pPr>
          </w:p>
        </w:tc>
        <w:tc>
          <w:tcPr>
            <w:tcW w:w="4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-2725420</wp:posOffset>
            </wp:positionV>
            <wp:extent cx="710628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-2416810</wp:posOffset>
            </wp:positionV>
            <wp:extent cx="7106285"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-1936750</wp:posOffset>
            </wp:positionV>
            <wp:extent cx="7106285"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06285" cy="65151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-222250</wp:posOffset>
            </wp:positionV>
            <wp:extent cx="710628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-3042285</wp:posOffset>
            </wp:positionV>
            <wp:extent cx="710628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Executive Officer under</w:t>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Financial Officer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and Principal Financial</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Officer Pursuant to 18 U.S.C. Section 1350 as Adopted Pursuant to</w:t>
      </w:r>
    </w:p>
    <w:p>
      <w:pPr>
        <w:spacing w:after="0"/>
        <w:rPr>
          <w:sz w:val="20"/>
          <w:szCs w:val="20"/>
          <w:color w:val="auto"/>
        </w:rPr>
      </w:pPr>
      <w:r>
        <w:rPr>
          <w:rFonts w:ascii="Times New Roman" w:cs="Times New Roman" w:eastAsia="Times New Roman" w:hAnsi="Times New Roman"/>
          <w:sz w:val="16"/>
          <w:szCs w:val="16"/>
          <w:u w:val="single" w:color="auto"/>
          <w:color w:val="0000FF"/>
        </w:rPr>
        <w:t>Section 906 of the Sarbanes-Oxley Act of 2002</w:t>
      </w:r>
    </w:p>
    <w:p>
      <w:pPr>
        <w:spacing w:after="0" w:line="200" w:lineRule="exact"/>
        <w:rPr>
          <w:sz w:val="20"/>
          <w:szCs w:val="20"/>
          <w:color w:val="auto"/>
        </w:rPr>
      </w:pPr>
    </w:p>
    <w:p>
      <w:pPr>
        <w:sectPr>
          <w:pgSz w:w="11900" w:h="16838" w:orient="portrait"/>
          <w:cols w:equalWidth="0" w:num="2">
            <w:col w:w="840" w:space="480"/>
            <w:col w:w="99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7" w:name="page68"/>
    <w:bookmarkEnd w:id="67"/>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w:t>
      </w:r>
    </w:p>
    <w:p>
      <w:pPr>
        <w:spacing w:after="0" w:line="36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-113665</wp:posOffset>
            </wp:positionV>
            <wp:extent cx="7106285"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p>
      <w:pPr>
        <w:spacing w:after="0"/>
        <w:rPr>
          <w:sz w:val="20"/>
          <w:szCs w:val="20"/>
          <w:color w:val="auto"/>
        </w:rPr>
      </w:pPr>
      <w:r>
        <w:rPr>
          <w:rFonts w:ascii="Times New Roman" w:cs="Times New Roman" w:eastAsia="Times New Roman" w:hAnsi="Times New Roman"/>
          <w:sz w:val="16"/>
          <w:szCs w:val="16"/>
          <w:color w:val="auto"/>
        </w:rPr>
        <w:t>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-113665</wp:posOffset>
            </wp:positionV>
            <wp:extent cx="710628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contained in Exhibit 101)</w:t>
      </w:r>
    </w:p>
    <w:p>
      <w:pPr>
        <w:spacing w:after="0" w:line="464" w:lineRule="exact"/>
        <w:rPr>
          <w:sz w:val="20"/>
          <w:szCs w:val="20"/>
          <w:color w:val="auto"/>
        </w:rPr>
      </w:pPr>
    </w:p>
    <w:p>
      <w:pPr>
        <w:sectPr>
          <w:pgSz w:w="11900" w:h="16838" w:orient="portrait"/>
          <w:cols w:equalWidth="0" w:num="2">
            <w:col w:w="1100" w:space="240"/>
            <w:col w:w="9900"/>
          </w:cols>
          <w:pgMar w:left="320" w:top="1440" w:right="339" w:bottom="1440" w:gutter="0" w:footer="0" w:header="0"/>
        </w:sectPr>
      </w:pPr>
    </w:p>
    <w:p>
      <w:pPr>
        <w:ind w:left="340" w:hanging="332"/>
        <w:spacing w:after="0" w:line="302" w:lineRule="auto"/>
        <w:tabs>
          <w:tab w:leader="none" w:pos="24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54" w:lineRule="exact"/>
        <w:rPr>
          <w:sz w:val="20"/>
          <w:szCs w:val="20"/>
          <w:color w:val="auto"/>
        </w:rPr>
      </w:pPr>
    </w:p>
    <w:p>
      <w:pPr>
        <w:ind w:left="340" w:hanging="332"/>
        <w:spacing w:after="0" w:line="302" w:lineRule="auto"/>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62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August 7, 2025</w:t>
            </w:r>
          </w:p>
        </w:tc>
        <w:tc>
          <w:tcPr>
            <w:tcW w:w="556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32"/>
        </w:trPr>
        <w:tc>
          <w:tcPr>
            <w:tcW w:w="1120" w:type="dxa"/>
            <w:vAlign w:val="bottom"/>
            <w:tcBorders>
              <w:top w:val="single" w:sz="8" w:color="auto"/>
            </w:tcBorders>
          </w:tcPr>
          <w:p>
            <w:pPr>
              <w:spacing w:after="0"/>
              <w:rPr>
                <w:sz w:val="20"/>
                <w:szCs w:val="20"/>
                <w:color w:val="auto"/>
              </w:rPr>
            </w:pPr>
          </w:p>
        </w:tc>
        <w:tc>
          <w:tcPr>
            <w:tcW w:w="55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Samuel Brill</w:t>
            </w:r>
          </w:p>
        </w:tc>
        <w:tc>
          <w:tcPr>
            <w:tcW w:w="1260" w:type="dxa"/>
            <w:vAlign w:val="bottom"/>
            <w:gridSpan w:val="2"/>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1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August 7, 2025</w:t>
            </w:r>
          </w:p>
        </w:tc>
        <w:tc>
          <w:tcPr>
            <w:tcW w:w="556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32"/>
        </w:trPr>
        <w:tc>
          <w:tcPr>
            <w:tcW w:w="1120" w:type="dxa"/>
            <w:vAlign w:val="bottom"/>
            <w:tcBorders>
              <w:top w:val="single" w:sz="8" w:color="auto"/>
            </w:tcBorders>
          </w:tcPr>
          <w:p>
            <w:pPr>
              <w:spacing w:after="0"/>
              <w:rPr>
                <w:sz w:val="20"/>
                <w:szCs w:val="20"/>
                <w:color w:val="auto"/>
              </w:rPr>
            </w:pPr>
          </w:p>
        </w:tc>
        <w:tc>
          <w:tcPr>
            <w:tcW w:w="5560" w:type="dxa"/>
            <w:vAlign w:val="bottom"/>
          </w:tcPr>
          <w:p>
            <w:pPr>
              <w:spacing w:after="0"/>
              <w:rPr>
                <w:sz w:val="20"/>
                <w:szCs w:val="20"/>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240"/>
          </w:cols>
          <w:pgMar w:left="320" w:top="144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Brill, certify that:</w:t>
      </w:r>
    </w:p>
    <w:p>
      <w:pPr>
        <w:spacing w:after="0" w:line="1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220" w:type="dxa"/>
            <w:vAlign w:val="bottom"/>
          </w:tcPr>
          <w:p>
            <w:pPr>
              <w:spacing w:after="0"/>
              <w:rPr>
                <w:sz w:val="15"/>
                <w:szCs w:val="15"/>
                <w:color w:val="auto"/>
              </w:rPr>
            </w:pPr>
          </w:p>
        </w:tc>
        <w:tc>
          <w:tcPr>
            <w:tcW w:w="4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Nemchenko, certify that:</w:t>
      </w:r>
    </w:p>
    <w:p>
      <w:pPr>
        <w:spacing w:after="0" w:line="1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220" w:type="dxa"/>
            <w:vAlign w:val="bottom"/>
          </w:tcPr>
          <w:p>
            <w:pPr>
              <w:spacing w:after="0"/>
              <w:rPr>
                <w:sz w:val="15"/>
                <w:szCs w:val="15"/>
                <w:color w:val="auto"/>
              </w:rPr>
            </w:pPr>
          </w:p>
        </w:tc>
        <w:tc>
          <w:tcPr>
            <w:tcW w:w="4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Ascend Wellness Holdings, Inc. (the “Company”) for the quarter ended June 30, 2025,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0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0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0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0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3"/>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13" Type="http://schemas.openxmlformats.org/officeDocument/2006/relationships/hyperlink" Target="https://www.sec.gov/Archives/edgar/data/1756390/000162828021007411/exhibit34-sx1a2.htm" TargetMode="External"/><Relationship Id="rId114" Type="http://schemas.openxmlformats.org/officeDocument/2006/relationships/hyperlink" Target="https://www.sec.gov/Archives/edgar/data/1756390/000162828021007411/exhibit35-sx1a2.htm" TargetMode="External"/><Relationship Id="rId115" Type="http://schemas.openxmlformats.org/officeDocument/2006/relationships/hyperlink" Target="https://www.sec.gov/Archives/edgar/data/1756390/000162828021006948/exhibit41-sx1a1.htm" TargetMode="External"/><Relationship Id="rId116" Type="http://schemas.openxmlformats.org/officeDocument/2006/relationships/hyperlink" Target="https://www.sec.gov/Archives/edgar/data/1756390/000162828021007411/exhibit42-sx1a2.htm" TargetMode="External"/><Relationship Id="rId117" Type="http://schemas.openxmlformats.org/officeDocument/2006/relationships/hyperlink" Target="https://www.sec.gov/Archives/edgar/data/1756390/000162828022022910/formofwarrantagreement.htm" TargetMode="External"/><Relationship Id="rId118" Type="http://schemas.openxmlformats.org/officeDocument/2006/relationships/hyperlink" Target="https://www.sec.gov/Archives/edgar/data/1756390/000162828024032485/awh-2024notesindentureex41.htm" TargetMode="External"/><Relationship Id="rId119" Type="http://schemas.openxmlformats.org/officeDocument/2006/relationships/hyperlink" Target="https://www.sec.gov/Archives/edgar/data/1756390/000162828024032485/ascend-guarantyex42toform8.htm" TargetMode="External"/><Relationship Id="rId120" Type="http://schemas.openxmlformats.org/officeDocument/2006/relationships/hyperlink" Target="https://www.sec.gov/Archives/edgar/data/1756390/000162828024032485/ascend-pledgeandsecurityag.htm" TargetMode="External"/><Relationship Id="rId121" Type="http://schemas.openxmlformats.org/officeDocument/2006/relationships/hyperlink" Target="https://www.sec.gov/Archives/edgar/data/1756390/000162828025001438/ex41firstsupplementalind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2025-08-07T16:17:40Z</dcterms:created>
  <dcterms:modified xsi:type="dcterms:W3CDTF">2025-08-07T16:17:40Z</dcterms:modified>
</cp:coreProperties>
</file>