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 to______</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333-254800 </w:t>
      </w:r>
    </w:p>
    <w:p>
      <w:pPr>
        <w:pStyle w:val="TextBody"/>
        <w:bidi w:val="0"/>
        <w:spacing w:before="0" w:after="0"/>
        <w:jc w:val="center"/>
        <w:rPr/>
      </w:pPr>
      <w:r>
        <w:rPr/>
        <w:drawing>
          <wp:inline distT="0" distB="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ASCEND WELLNESS HOLDINGS, INC.</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83-0602006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 Whippany Rd.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Suite 101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Morristown, NJ 07960</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(646) 661-7600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tbl>
      <w:tblPr>
        <w:tblW w:w="7552"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5, 2024, there were 214,266,801 shares of the registrant’s Class A common stock, par value $0.001, and 65,000 shares of the registrant’s Class B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51" w:type="dxa"/>
        <w:jc w:val="left"/>
        <w:tblInd w:w="0" w:type="dxa"/>
        <w:tblLayout w:type="fixed"/>
        <w:tblCellMar>
          <w:top w:w="28" w:type="dxa"/>
          <w:left w:w="28" w:type="dxa"/>
          <w:bottom w:w="28" w:type="dxa"/>
          <w:right w:w="28" w:type="dxa"/>
        </w:tblCellMar>
      </w:tblPr>
      <w:tblGrid>
        <w:gridCol w:w="2891"/>
        <w:gridCol w:w="2542"/>
        <w:gridCol w:w="2546"/>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0">
              <w:r>
                <w:rPr>
                  <w:rStyle w:val="InternetLink"/>
                  <w:rFonts w:ascii="Times New Roman;sans-serif" w:hAnsi="Times New Roman;sans-serif"/>
                  <w:b/>
                  <w:strike w:val="false"/>
                  <w:dstrike w:val="false"/>
                  <w:color w:val="000000"/>
                  <w:sz w:val="20"/>
                  <w:u w:val="none"/>
                  <w:effect w:val="non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0">
              <w:r>
                <w:rPr>
                  <w:rStyle w:val="InternetLink"/>
                  <w:rFonts w:ascii="Times New Roman;sans-serif" w:hAnsi="Times New Roman;sans-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3">
              <w:r>
                <w:rPr>
                  <w:rStyle w:val="InternetLink"/>
                  <w:rFonts w:ascii="Times New Roman;sans-serif" w:hAnsi="Times New Roman;sans-serif"/>
                  <w:b/>
                  <w:strike w:val="false"/>
                  <w:dstrike w:val="false"/>
                  <w:color w:val="000000"/>
                  <w:sz w:val="20"/>
                  <w:u w:val="none"/>
                  <w:effect w:val="non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3">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6">
              <w:r>
                <w:rPr>
                  <w:rStyle w:val="InternetLink"/>
                  <w:rFonts w:ascii="Times New Roman;sans-serif" w:hAnsi="Times New Roman;sans-serif"/>
                  <w:b w:val="false"/>
                  <w:strike w:val="false"/>
                  <w:dstrike w:val="false"/>
                  <w:color w:val="000000"/>
                  <w:sz w:val="20"/>
                  <w:u w:val="none"/>
                  <w:effect w:val="none"/>
                </w:rPr>
                <w:t>Item 1.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6">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97">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97">
              <w:r>
                <w:rPr>
                  <w:rStyle w:val="InternetLink"/>
                  <w:rFonts w:ascii="Times New Roman;sans-serif" w:hAnsi="Times New Roman;sans-serif"/>
                  <w:b w:val="false"/>
                  <w:color w:val="0000FF"/>
                  <w:sz w:val="20"/>
                  <w:u w:val="single"/>
                </w:rPr>
                <w:t>38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30">
              <w:r>
                <w:rPr>
                  <w:rStyle w:val="InternetLink"/>
                  <w:rFonts w:ascii="Times New Roman;sans-serif" w:hAnsi="Times New Roman;sans-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30">
              <w:r>
                <w:rPr>
                  <w:rStyle w:val="InternetLink"/>
                  <w:rFonts w:ascii="Times New Roman;sans-serif" w:hAnsi="Times New Roman;sans-serif"/>
                  <w:b w:val="false"/>
                  <w:color w:val="0000FF"/>
                  <w:sz w:val="20"/>
                  <w:u w:val="single"/>
                </w:rPr>
                <w:t>60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33">
              <w:r>
                <w:rPr>
                  <w:rStyle w:val="InternetLink"/>
                  <w:rFonts w:ascii="Times New Roman;sans-serif" w:hAnsi="Times New Roman;sans-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33">
              <w:r>
                <w:rPr>
                  <w:rStyle w:val="InternetLink"/>
                  <w:rFonts w:ascii="Times New Roman;sans-serif" w:hAnsi="Times New Roman;sans-serif"/>
                  <w:b w:val="false"/>
                  <w:color w:val="0000FF"/>
                  <w:sz w:val="20"/>
                  <w:u w:val="single"/>
                </w:rPr>
                <w:t>61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36">
              <w:r>
                <w:rPr>
                  <w:rStyle w:val="InternetLink"/>
                  <w:rFonts w:ascii="Times New Roman;sans-serif" w:hAnsi="Times New Roman;sans-serif"/>
                  <w:b/>
                  <w:strike w:val="false"/>
                  <w:dstrike w:val="false"/>
                  <w:color w:val="000000"/>
                  <w:sz w:val="20"/>
                  <w:u w:val="none"/>
                  <w:effect w:val="non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36">
              <w:r>
                <w:rPr>
                  <w:rStyle w:val="InternetLink"/>
                  <w:rFonts w:ascii="Times New Roman;sans-serif" w:hAnsi="Times New Roman;sans-serif"/>
                  <w:b w:val="false"/>
                  <w:color w:val="0000FF"/>
                  <w:sz w:val="20"/>
                  <w:u w:val="single"/>
                </w:rPr>
                <w:t>62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39">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39">
              <w:r>
                <w:rPr>
                  <w:rStyle w:val="InternetLink"/>
                  <w:rFonts w:ascii="Times New Roman;sans-serif" w:hAnsi="Times New Roman;sans-serif"/>
                  <w:b w:val="false"/>
                  <w:color w:val="0000FF"/>
                  <w:sz w:val="20"/>
                  <w:u w:val="single"/>
                </w:rPr>
                <w:t>62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42">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42">
              <w:r>
                <w:rPr>
                  <w:rStyle w:val="InternetLink"/>
                  <w:rFonts w:ascii="Times New Roman;sans-serif" w:hAnsi="Times New Roman;sans-serif"/>
                  <w:b w:val="false"/>
                  <w:color w:val="0000FF"/>
                  <w:sz w:val="20"/>
                  <w:u w:val="single"/>
                </w:rPr>
                <w:t>62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45">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45">
              <w:r>
                <w:rPr>
                  <w:rStyle w:val="InternetLink"/>
                  <w:rFonts w:ascii="Times New Roman;sans-serif" w:hAnsi="Times New Roman;sans-serif"/>
                  <w:b w:val="false"/>
                  <w:color w:val="0000FF"/>
                  <w:sz w:val="20"/>
                  <w:u w:val="single"/>
                </w:rPr>
                <w:t>63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48">
              <w:r>
                <w:rPr>
                  <w:rStyle w:val="InternetLink"/>
                  <w:rFonts w:ascii="Times New Roman;sans-serif" w:hAnsi="Times New Roman;sans-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48">
              <w:r>
                <w:rPr>
                  <w:rStyle w:val="InternetLink"/>
                  <w:rFonts w:ascii="Times New Roman;sans-serif" w:hAnsi="Times New Roman;sans-serif"/>
                  <w:b w:val="false"/>
                  <w:color w:val="0000FF"/>
                  <w:sz w:val="20"/>
                  <w:u w:val="single"/>
                </w:rPr>
                <w:t>63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51">
              <w:r>
                <w:rPr>
                  <w:rStyle w:val="InternetLink"/>
                  <w:rFonts w:ascii="Times New Roman;sans-serif" w:hAnsi="Times New Roman;sans-serif"/>
                  <w:b w:val="false"/>
                  <w:strike w:val="false"/>
                  <w:dstrike w:val="false"/>
                  <w:color w:val="000000"/>
                  <w:sz w:val="20"/>
                  <w:u w:val="none"/>
                  <w:effect w:val="none"/>
                </w:rPr>
                <w:t>Item 4. Mine Safety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51">
              <w:r>
                <w:rPr>
                  <w:rStyle w:val="InternetLink"/>
                  <w:rFonts w:ascii="Times New Roman;sans-serif" w:hAnsi="Times New Roman;sans-serif"/>
                  <w:b w:val="false"/>
                  <w:color w:val="0000FF"/>
                  <w:sz w:val="20"/>
                  <w:u w:val="single"/>
                </w:rPr>
                <w:t>63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54">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54">
              <w:r>
                <w:rPr>
                  <w:rStyle w:val="InternetLink"/>
                  <w:rFonts w:ascii="Times New Roman;sans-serif" w:hAnsi="Times New Roman;sans-serif"/>
                  <w:b w:val="false"/>
                  <w:color w:val="0000FF"/>
                  <w:sz w:val="20"/>
                  <w:u w:val="single"/>
                </w:rPr>
                <w:t>63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57">
              <w:r>
                <w:rPr>
                  <w:rStyle w:val="InternetLink"/>
                  <w:rFonts w:ascii="Times New Roman;sans-serif" w:hAnsi="Times New Roman;sans-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57">
              <w:r>
                <w:rPr>
                  <w:rStyle w:val="InternetLink"/>
                  <w:rFonts w:ascii="Times New Roman;sans-serif" w:hAnsi="Times New Roman;sans-serif"/>
                  <w:b w:val="false"/>
                  <w:color w:val="0000FF"/>
                  <w:sz w:val="20"/>
                  <w:u w:val="single"/>
                </w:rPr>
                <w:t>64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6ad06cc05d345208f3c2b0088a85e32_160">
              <w:r>
                <w:rPr>
                  <w:rStyle w:val="InternetLink"/>
                  <w:rFonts w:ascii="Times New Roman;sans-serif" w:hAnsi="Times New Roman;sans-serif"/>
                  <w:b/>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ad06cc05d345208f3c2b0088a85e32_160">
              <w:r>
                <w:rPr>
                  <w:rStyle w:val="InternetLink"/>
                  <w:rFonts w:ascii="Times New Roman;sans-serif" w:hAnsi="Times New Roman;sans-serif"/>
                  <w:b w:val="false"/>
                  <w:color w:val="0000FF"/>
                  <w:sz w:val="20"/>
                  <w:u w:val="single"/>
                </w:rPr>
                <w:t>66</w:t>
              </w:r>
            </w:hyperlink>
          </w:p>
        </w:tc>
      </w:tr>
    </w:tbl>
    <w:p>
      <w:pPr>
        <w:pStyle w:val="TextBody"/>
        <w:bidi w:val="0"/>
        <w:spacing w:before="0" w:after="180"/>
        <w:ind w:left="0" w:right="0" w:firstLine="720"/>
        <w:jc w:val="right"/>
        <w:rPr/>
      </w:pPr>
      <w:r>
        <w:rPr/>
      </w:r>
    </w:p>
    <w:p>
      <w:pPr>
        <w:pStyle w:val="TextBody"/>
        <w:bidi w:val="0"/>
        <w:spacing w:before="0" w:after="18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volatility of the market price and liquidity risks on shares of our Class A common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voting control exercised by holders of Class B common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attract and maintain key personnel;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continue to open new dispensaries and cultivation facilities as anticipated;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illegality of cannabis under federal law;</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state and federal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uncertainty regarding enforcement of cannabis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restricted access to banking and other financial services;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constraints on marketing and risks related to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tax treatment for cannabis businesses;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proposed legislation on our tax liabilities and financial performance;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security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infringement or misappropriation claims by third parties;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potential future U.S. Food and Drug Administration (“FDA”)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enforce our contracts;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publicity or consumer perception;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material acquisitions, dispositions and other strategic transactions;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agricultural and environmental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climate change;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information technology systems;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unknown health impacts associated with the use of cannabis and cannabis derivative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product liability claims and other litigation to which we may be subjected;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the results of future clinical research;</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intense competition in the industry;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maturation of the cannabis market;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adverse changes in wholesale and retail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sustained inflation;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political and economic instability;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outbreaks of pandemic diseases, fear of such outbreaks or economic disturbances due to such outbreaks;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general economic risks, such as the unemployment level, interest rates, and inflation, and challenging global economic conditions.</w:t>
      </w:r>
      <w:r>
        <w:rPr>
          <w:color w:val="EE2724"/>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2023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61"/>
        <w:gridCol w:w="2225"/>
        <w:gridCol w:w="2233"/>
        <w:gridCol w:w="207"/>
        <w:gridCol w:w="779"/>
        <w:gridCol w:w="115"/>
        <w:gridCol w:w="109"/>
        <w:gridCol w:w="109"/>
        <w:gridCol w:w="109"/>
        <w:gridCol w:w="244"/>
        <w:gridCol w:w="918"/>
        <w:gridCol w:w="196"/>
      </w:tblGrid>
      <w:tr>
        <w:trPr/>
        <w:tc>
          <w:tcPr>
            <w:tcW w:w="2961"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236,264 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228,860 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929,363 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919,550 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current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811,820 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776,678 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10,000 shares authorized, none issued and outstanding as of June 30, 2024 and December 31, 2023</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 750,000 shares authorized; 213,755 and 206,810 shares issued and outstanding at June 30, 2024 and December 31, 2023</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$0.001 par value per share, 100 shares authorized; 65 issued and outstanding at June 30, 2024 and December 31, 2023</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(355,309)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of Ascend Wellness Holdings, Inc. common stockholders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116,493 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929,363 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919,550 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39"/>
        <w:gridCol w:w="1485"/>
        <w:gridCol w:w="149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203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Operating (loss)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 income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(loss)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(loss) income per share attributable to Class A and Class B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6"/>
        <w:gridCol w:w="301"/>
        <w:gridCol w:w="285"/>
        <w:gridCol w:w="368"/>
        <w:gridCol w:w="368"/>
        <w:gridCol w:w="196"/>
        <w:gridCol w:w="109"/>
        <w:gridCol w:w="109"/>
        <w:gridCol w:w="109"/>
        <w:gridCol w:w="197"/>
        <w:gridCol w:w="423"/>
        <w:gridCol w:w="109"/>
        <w:gridCol w:w="109"/>
        <w:gridCol w:w="109"/>
        <w:gridCol w:w="109"/>
        <w:gridCol w:w="204"/>
        <w:gridCol w:w="767"/>
        <w:gridCol w:w="113"/>
        <w:gridCol w:w="109"/>
        <w:gridCol w:w="109"/>
        <w:gridCol w:w="109"/>
        <w:gridCol w:w="199"/>
        <w:gridCol w:w="768"/>
        <w:gridCol w:w="110"/>
        <w:gridCol w:w="109"/>
        <w:gridCol w:w="109"/>
        <w:gridCol w:w="109"/>
        <w:gridCol w:w="210"/>
        <w:gridCol w:w="790"/>
        <w:gridCol w:w="118"/>
        <w:gridCol w:w="109"/>
        <w:gridCol w:w="109"/>
        <w:gridCol w:w="109"/>
        <w:gridCol w:w="215"/>
        <w:gridCol w:w="610"/>
        <w:gridCol w:w="121"/>
        <w:gridCol w:w="109"/>
        <w:gridCol w:w="109"/>
        <w:gridCol w:w="109"/>
        <w:gridCol w:w="196"/>
        <w:gridCol w:w="736"/>
        <w:gridCol w:w="163"/>
      </w:tblGrid>
      <w:tr>
        <w:trPr/>
        <w:tc>
          <w:tcPr>
            <w:tcW w:w="6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Attributable to Ascend Wellness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Holdings, Inc.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(315,362)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Recognition of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468,093 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134,780 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135,830 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213,820 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471,587 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(355,309)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116,493 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88"/>
        <w:gridCol w:w="831"/>
        <w:gridCol w:w="827"/>
        <w:gridCol w:w="368"/>
        <w:gridCol w:w="368"/>
        <w:gridCol w:w="196"/>
        <w:gridCol w:w="116"/>
        <w:gridCol w:w="116"/>
        <w:gridCol w:w="116"/>
        <w:gridCol w:w="210"/>
        <w:gridCol w:w="451"/>
        <w:gridCol w:w="116"/>
        <w:gridCol w:w="109"/>
        <w:gridCol w:w="109"/>
        <w:gridCol w:w="109"/>
        <w:gridCol w:w="294"/>
        <w:gridCol w:w="1106"/>
        <w:gridCol w:w="163"/>
        <w:gridCol w:w="109"/>
        <w:gridCol w:w="109"/>
        <w:gridCol w:w="109"/>
        <w:gridCol w:w="237"/>
        <w:gridCol w:w="957"/>
        <w:gridCol w:w="132"/>
        <w:gridCol w:w="109"/>
        <w:gridCol w:w="109"/>
        <w:gridCol w:w="109"/>
        <w:gridCol w:w="109"/>
        <w:gridCol w:w="109"/>
        <w:gridCol w:w="109"/>
        <w:gridCol w:w="109"/>
        <w:gridCol w:w="196"/>
        <w:gridCol w:w="736"/>
        <w:gridCol w:w="164"/>
      </w:tblGrid>
      <w:tr>
        <w:trPr/>
        <w:tc>
          <w:tcPr>
            <w:tcW w:w="108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423" w:type="dxa"/>
            <w:gridSpan w:val="6"/>
            <w:tcBorders/>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188,064 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(267,148)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equity-based payment rewards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189,566 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434,392 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(285,620)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148,961 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private placement, net of offering expenses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in acquisitions or asset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4,770 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equity-based payment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204,890 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450,529 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(284,779)</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165,955 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54" w:type="dxa"/>
        <w:jc w:val="left"/>
        <w:tblInd w:w="0" w:type="dxa"/>
        <w:tblLayout w:type="fixed"/>
        <w:tblCellMar>
          <w:top w:w="28" w:type="dxa"/>
          <w:left w:w="28" w:type="dxa"/>
          <w:bottom w:w="28" w:type="dxa"/>
          <w:right w:w="28" w:type="dxa"/>
        </w:tblCellMar>
      </w:tblPr>
      <w:tblGrid>
        <w:gridCol w:w="2184"/>
        <w:gridCol w:w="1920"/>
        <w:gridCol w:w="1926"/>
        <w:gridCol w:w="196"/>
        <w:gridCol w:w="721"/>
        <w:gridCol w:w="109"/>
        <w:gridCol w:w="109"/>
        <w:gridCol w:w="109"/>
        <w:gridCol w:w="109"/>
        <w:gridCol w:w="196"/>
        <w:gridCol w:w="721"/>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acquisitions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capital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notes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of notes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private placement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finance leases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(CONTINUED, UNAUDITED)</w:t>
      </w:r>
    </w:p>
    <w:p>
      <w:pPr>
        <w:pStyle w:val="TextBody"/>
        <w:bidi w:val="0"/>
        <w:spacing w:before="0" w:after="0"/>
        <w:jc w:val="center"/>
        <w:rPr/>
      </w:pPr>
      <w:r>
        <w:rPr/>
      </w:r>
    </w:p>
    <w:tbl>
      <w:tblPr>
        <w:tblW w:w="8619" w:type="dxa"/>
        <w:jc w:val="left"/>
        <w:tblInd w:w="0" w:type="dxa"/>
        <w:tblLayout w:type="fixed"/>
        <w:tblCellMar>
          <w:top w:w="28" w:type="dxa"/>
          <w:left w:w="28" w:type="dxa"/>
          <w:bottom w:w="28" w:type="dxa"/>
          <w:right w:w="28" w:type="dxa"/>
        </w:tblCellMar>
      </w:tblPr>
      <w:tblGrid>
        <w:gridCol w:w="2291"/>
        <w:gridCol w:w="2017"/>
        <w:gridCol w:w="2037"/>
        <w:gridCol w:w="196"/>
        <w:gridCol w:w="646"/>
        <w:gridCol w:w="109"/>
        <w:gridCol w:w="109"/>
        <w:gridCol w:w="109"/>
        <w:gridCol w:w="109"/>
        <w:gridCol w:w="196"/>
        <w:gridCol w:w="64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(refunds) payments,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incurred but not yet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recognized upon initial consolidation of variable interest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in business 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225"/>
                <wp:effectExtent l="0" t="0" r="0" b="0"/>
                <wp:wrapNone/>
                <wp:docPr id="11" name="Frame10"/>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1. THE COMPANY AND NATURE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Morristown, New Jersey.</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Shares of the Company’s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(the “OTCQX”) under the symbol “AAWH.”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2. BASIS OF PRESENTATION AND SIGNIFICANT ACCOUNTING POLICIES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2023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six months ended June 30, 2024.</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under federal securities laws and as such we are able to elect to follow scaled disclosure requirements for this filing and can delay adopting new or revised accounting standards until such time as those standards apply to private companies.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June 30, 2024 and December 31, 2023, as well as a net loss for the six months ended June 30, 2024 and 2023,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we did not hold significant restricted cash or cash equivalents.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we had no transfers of assets or liabilities between any of the hierarchy levels.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right-of-use (“ROU”) assets. We estimate the fair value of these assets using primarily unobservable Level 3 inputs.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Basic and Diluted Earnings (Loss) per Share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June 30, 2024 and 2023, 25,270 and 24,133 shares of common stock equivalents, respectively, were excluded from the calculation of diluted EPS because their inclusion would have been anti-dilutive.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standards have been recently issued by the Financial Accounting Standards Board (“FASB”). Pronouncements that are not applicable to the Company or where it has been determined do not have a significant impact on us have been excluded herein.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Reference Rate Reform</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In March 2020, the FASB issued Accounting Standards Update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xml:space="preserve">, which provides optional expedients and exceptions for applying U.S. GAAP to contracts, hedging relationships, and other 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sans-serif" w:hAnsi="Times New Roman;sans-serif"/>
          <w:b w:val="false"/>
          <w:i/>
          <w:color w:val="000000"/>
          <w:sz w:val="20"/>
        </w:rPr>
        <w:t>Reference Rate Reform (Topic 848): Deferral of the Sunset Date of Topic 848</w:t>
      </w:r>
      <w:r>
        <w:rPr>
          <w:rFonts w:ascii="Times New Roman;sans-serif" w:hAnsi="Times New Roman;sans-serif"/>
          <w:b w:val="false"/>
          <w:color w:val="000000"/>
          <w:sz w:val="20"/>
        </w:rPr>
        <w:t>, to extend the</w:t>
      </w:r>
      <w:r>
        <w:rPr>
          <w:color w:val="000000"/>
        </w:rPr>
        <w:t xml:space="preserve"> </w:t>
      </w:r>
      <w:r>
        <w:rPr>
          <w:rFonts w:ascii="Times New Roman;sans-serif" w:hAnsi="Times New Roman;sans-serif"/>
          <w:b w:val="false"/>
          <w:color w:val="000000"/>
          <w:sz w:val="20"/>
        </w:rPr>
        <w:t xml:space="preserve">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expands and enhances the disclosures required for reportable segments in annual and interim consolidated financial statements, including reportable segment expenses, interim segment profit or loss, and how an entity’s chief operating decision maker uses reported segment profit or loss information in assessing segment performance and allocating resources. The guidance in this update is effective for the Company for the fiscal year ending December 31, 2024 and interim periods beginning with the fiscal period commencing January 1, 2025 and should be adopted retrospectively unless it is impractical to do so. Early adoption is permitted. We are currently evaluating the impact of this update on our disclosures in the consolidated financial statements.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In December 2023, the FASB issued ASU 2023-09,</w:t>
      </w:r>
      <w:r>
        <w:rPr>
          <w:color w:val="000000"/>
        </w:rPr>
        <w:t xml:space="preserve"> </w:t>
      </w:r>
      <w:r>
        <w:rPr>
          <w:rFonts w:ascii="Times New Roman;sans-serif" w:hAnsi="Times New Roman;sans-serif"/>
          <w:b w:val="false"/>
          <w:i/>
          <w:color w:val="000000"/>
          <w:sz w:val="20"/>
        </w:rPr>
        <w:t>Income Taxes (Topic 740):</w:t>
      </w:r>
      <w:r>
        <w:rPr>
          <w:color w:val="000000"/>
        </w:rPr>
        <w:t xml:space="preserve">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which requires enhanced income tax disclosures, including disaggregation in the rate reconciliation table and disaggregation information related to income taxes paid. The amendments in this update are effective for the Company for the fiscal year ending December 31, 2026 on a prospective or retrospective basis, with early adoption permitted. We are currently evaluating the impact of this update on our disclosures in the consolidated financial statements.</w:t>
      </w:r>
    </w:p>
    <w:p>
      <w:pPr>
        <w:pStyle w:val="TextBody"/>
        <w:bidi w:val="0"/>
        <w:spacing w:before="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3. REPORTABLE SEGMENTS AND 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8834" w:type="dxa"/>
        <w:jc w:val="left"/>
        <w:tblInd w:w="0" w:type="dxa"/>
        <w:tblLayout w:type="fixed"/>
        <w:tblCellMar>
          <w:top w:w="28" w:type="dxa"/>
          <w:left w:w="28" w:type="dxa"/>
          <w:bottom w:w="28" w:type="dxa"/>
          <w:right w:w="28" w:type="dxa"/>
        </w:tblCellMar>
      </w:tblPr>
      <w:tblGrid>
        <w:gridCol w:w="1168"/>
        <w:gridCol w:w="1026"/>
        <w:gridCol w:w="10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inter-company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related to the loyalty program we offer dispensary customers at certain locations was $1,521 and $1,317 at June 30, 2024 and December 31, 2023, respectively, and is included within “Other current liabilities” on the unaudited Condensed Consolidated Balance Sheets. The Company recorded $1,961 and $1,939 in allowance for doubtful accounts as of June 30, 2024 and December 31, 2023, respectively. Write-offs were not significant during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Company has determined that the acquisitions discussed below are considered business combinations under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and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these Financial Statements from the date of the acquisition.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2024 Acquisition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Effective in April 2024, a consolidated variable interest entity (“VIE”) of the Company acquired two dispensaries in the greater Chicago, Illinois area (the “Chicago Partner Dispensaries”). The parties entered into interim management services agreements (“MSAs”) pursuant to which the consolidated entity will advise on certain business, operational, and financial matters for a monthly fee while the parties finalize asset purchase agreements to acquire the underlying dispensaries (the “Illinois MSAs”). The total purchase price of approximately $10,000 of cash consideration is subject to certain closing adjustments. An initial deposit of $1,500 was remitted during the three months ended March 31, 2024 and the remainder of $8,500 was remitted to escrow during the three months ended June 30, 2024.</w:t>
      </w:r>
      <w:r>
        <w:rPr>
          <w:color w:val="EE2724"/>
        </w:rPr>
        <w:t xml:space="preserve"> </w:t>
      </w:r>
      <w:r>
        <w:rPr>
          <w:rFonts w:ascii="Times New Roman;sans-serif" w:hAnsi="Times New Roman;sans-serif"/>
          <w:b w:val="false"/>
          <w:color w:val="000000"/>
          <w:sz w:val="20"/>
        </w:rPr>
        <w:t xml:space="preserve">The asset purchase agreements in respect of the Chicago Partner Dispensaries are subject to regulatory review and approval. Based on the provisions of the Illinois MSAs, the third party obtained operational and financial influence over the dispensaries and therefore recognized the transaction as a business combination as of the April 2024 regulatory approval date of the Illinois MSAs. Refer to Note 8, “Variable Interest Entities,” for additional information regarding the Company’s VIEs.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purchase price allocation, which remains preliminary as management refines certain estimates during the measurement period:</w:t>
      </w:r>
    </w:p>
    <w:tbl>
      <w:tblPr>
        <w:tblW w:w="4833" w:type="dxa"/>
        <w:jc w:val="left"/>
        <w:tblInd w:w="0" w:type="dxa"/>
        <w:tblLayout w:type="fixed"/>
        <w:tblCellMar>
          <w:top w:w="28" w:type="dxa"/>
          <w:left w:w="28" w:type="dxa"/>
          <w:bottom w:w="28" w:type="dxa"/>
          <w:right w:w="28" w:type="dxa"/>
        </w:tblCellMar>
      </w:tblPr>
      <w:tblGrid>
        <w:gridCol w:w="1239"/>
        <w:gridCol w:w="1089"/>
        <w:gridCol w:w="1092"/>
        <w:gridCol w:w="109"/>
        <w:gridCol w:w="109"/>
        <w:gridCol w:w="109"/>
        <w:gridCol w:w="211"/>
        <w:gridCol w:w="72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Licenses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leasehold improvements of $2,705 and furniture, fixtures, and equipment of $127.</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amortization period for acquired licenses is 10 years.</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Goodwill is largely attributable to the value expected to be obtained from long-term business growth and buyer-specific synergies. Goodwill is largely not deductible for tax purposes under the limitations under IRC Section 280E; see Note 14, “Income Taxes,”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entity has also agreed to assume the lease for the associated locations and recognized a total lease liability and ROU asset of $3,065 as of the effective date; refer to Note 10, “Leases,” for additional information regarding the Company’s leases. Direct transaction costs were not material.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revenue and net loss related to the Chicago Partner Dispensaries that are included in our consolidated results of operations was not material for the three and six months ended June 30, 2024. Pro forma financial information is not presented, as such results are immaterial to both the current and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2023 Acquisition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at issuance. As of March 31, 2024, the purchase price allocation remained preliminary as the Company finalized certain estimates of the fair value of the net assets acquired within the measurement period. Subsequently, in April 2024 the Company finalized the working capital settlement and reduced consideration and goodwill by $200. Our results of operations for the three and six months ended June 30, 2024 include $9,737 and $19,141 of net revenue, respectively, and $949 and $1,926 of net income, respectively, related to Devi Maryland. Our results of operations for each of the three and six months ended June 30, 2023 include $1,729 of net revenue and $673 of net loss related to Devi Maryland. Pro forma financial information is not presented, as such results are immaterial to both the current and prior periods.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Asset Acquisitions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2024 Asset Acquisition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2024, the Company entered into a definitive agreement (the “Massachusetts Purchase Agreement”) to purchase a cultivation license and a manufacturer license from a third party in Massachusetts for a cash purchase price of $2,750, of which $1,500 was paid at signing, and which total may be adjusted at closing, as provided in the Massachusetts Purchase Agreement. The transfer of each license is subject to regulatory review and approval, which the Company expects may occur within twelve months following the signing date. The licenses were not associated with active operations at signing, but operations have since commenced. In conjunction with the Massachusetts Purchase Agreement, the parties also entered into a bridge loan which provides for the financing of certain covered expenses, at the sole discretion of the Company. This bridge loan bears interest based on the federal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remaining $1,250 of the cash consideration is due on October 1, 2024 and is included as a sellers’ note within “Current portion of debt, net” on the unaudited Condensed Consolidated Balance Sheet as of June 30, 2024; refer to Note 11, “Debt,” for additional information. The Company has also agreed to assume the lease for the associated location and to reimburse the seller for the security deposit at final closing. The Company recognized a lease liability and ROU asset of $761 as of the signing date; refer to Note 10, “Leases,” for additional information regarding the Company’s leases. Direct transaction costs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Previous Asset Acquisitions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Ohio Patient Access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is subject to regulatory review and approval. Once regulatory approval is received, the Company may exercise the option, and the exercise is solely within the Company’s control. As initially provided by the Ohio Agreement, the Company had the right to exercise the option until the fifth anniversary of the agreement date, but was subsequently amended in June 2024 so that such option will expire on March 22, 2026. The Company anticipates exercising the option prior to the amended expiration date.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the Ohio Agreement, the parties also entered into a support services agreement under which the Company is providing management and advisory services to OPA for a set monthly fee. The parties also entered into a working capital loan agreement under which the Company may, at its full discretion, loan OPA up to $10,000 for general working capital needs. Under the Ohio Agreement, the Company will also acquire the real property of the three dispensary locations. OPA had not yet commenced operations as of the signing date, but subsequently opened two dispensaries in December 2023 and a third in January 2024.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per the Ohio Agreement consists of total cash consideration of $22,300. The Ohio Agreement also includes an earn-out provision of $7,300 that is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 The parties amended the Ohio Agreement in June 2024 to incorporate certain provisions regarding evolving regulations in Ohio, including that the Company will, upon final closing of the Ohio Agreement, receive two additional adult-use licenses that are expected to be awarded to OPA.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and $11,000 is due at final closing (the “OPA Sellers’ Note”); refer to Note 11, “Debt,” for additional information. The license intangible asset acquired was determined to have an estimated fair value of $21,684 and the three properties had an estimated fair value of $2,448, which was determined using a market approach based on the total transaction consideration. The license is being amortized in accordance with the Company’s policy following the commencement of operations. During the third quarter of 2023, the Company recorded an acquisition-related deferred tax liability of $9,516, which was allocated to the estimated fair value of the license. </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As of June 30, 2024 and December 31, 2023, the estimated fair value of this contingent consideration was $7,300 and $6,670, respectively, and is included within “Accounts Payable and accrued liabilities” on the unaudited Condensed Consolidated Balance Sheets at June 30, 2024 and within “Other non-current liabilities” at December 31, 2023. The $490 and $630 change in fair value during the three and six months ended June 30, 2024, respectively, is included within “General and administrative expenses” on the unaudited Condensed Consolidated Statement of Operations. The Company determined the fair value of any noncontrolling interest is </w:t>
      </w:r>
      <w:r>
        <w:rPr>
          <w:rFonts w:ascii="Times New Roman;sans-serif" w:hAnsi="Times New Roman;sans-serif"/>
          <w:b w:val="false"/>
          <w:i/>
          <w:color w:val="000000"/>
          <w:sz w:val="20"/>
        </w:rPr>
        <w:t>de minimis</w:t>
      </w:r>
      <w:r>
        <w:rPr>
          <w:rFonts w:ascii="Times New Roman;sans-serif" w:hAnsi="Times New Roman;sans-serif"/>
          <w:b w:val="false"/>
          <w:color w:val="000000"/>
          <w:sz w:val="20"/>
        </w:rPr>
        <w:t>. Refer to Note 8, “Variable Interest Entities,” for additional information regarding the Company’s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Illinois Licenses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definitive agreements to acquire two additional licenses in Illinois. Neither of these licenses were associated with active operations at signing. These acquired licenses are being amortized in accordance with the Company’s policy as of the commencement of operations for each respective location, described below.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One transaction was entered on August 11, 2022 for total cash consideration of $5,500. The Company accounted for this transaction as an asset acquisition and allocated the cash consideration plus an acquisition-related deferred tax liability of $2,414 as the total cost of the license. Of the total cash consideration, $3,000 was paid at signing and $2,500 was due at final closing, which occurred in April 2024. The closing payment is included as a sellers’ note within “Current portion of debt, net” on the unaudited Condensed Consolidated Balance Sheet at December 31, 2023; refer to Note 11, “Debt,” for additional information. Operations at the associated location commenced during the second quarter of 2023.</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transaction was entered on August 12, 2022 for total cash consideration of $5,600. The Company accounted for this transaction as an asset acquisition and allocated the cash consideration plus an acquisition-related deferred tax liability of $2,458 as the total cost of the license. The cash consideration was paid at final closing in July 2024 and was included as a sellers’ note within “Current portion of debt, net” on the unaudited Condensed Consolidated Balance Sheets at June 30, 2024 and December 31, 2023; refer to Note 11, “Debt,” for additional information. Operations at the associated location commenced in December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as follows:</w:t>
      </w:r>
    </w:p>
    <w:tbl>
      <w:tblPr>
        <w:tblW w:w="5321" w:type="dxa"/>
        <w:jc w:val="left"/>
        <w:tblInd w:w="0" w:type="dxa"/>
        <w:tblLayout w:type="fixed"/>
        <w:tblCellMar>
          <w:top w:w="28" w:type="dxa"/>
          <w:left w:w="28" w:type="dxa"/>
          <w:bottom w:w="28" w:type="dxa"/>
          <w:right w:w="28" w:type="dxa"/>
        </w:tblCellMar>
      </w:tblPr>
      <w:tblGrid>
        <w:gridCol w:w="706"/>
        <w:gridCol w:w="621"/>
        <w:gridCol w:w="623"/>
        <w:gridCol w:w="234"/>
        <w:gridCol w:w="919"/>
        <w:gridCol w:w="121"/>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 capitalized to inventory was $18,629 and $17,174 during the three months ended June 30, 2024 and 2023, respectively, and $38,973 and $34,295 during the six months ended June 30, 2024 and 2023, respectively. At June 30, 2024 and December 31, 2023, $15,105 and $13,730, respectively, of compensation expense remained capitalized as part of inventory. The Company recognized, as a component of cost of goods sold, total write-downs related to net realizable value adjustments, expired products, and obsolete packaging totaling $474 during the six months ended June 30, 2024 and $6,172 and $10,114 during the three and six months ended June 30, 2023, respectively. Such write-downs were not material during the three months ended June 30, 2024. These amounts are included within “Other” on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6. NOTES RECEIVABLE</w:t>
      </w:r>
    </w:p>
    <w:tbl>
      <w:tblPr>
        <w:tblW w:w="6115" w:type="dxa"/>
        <w:jc w:val="left"/>
        <w:tblInd w:w="0" w:type="dxa"/>
        <w:tblLayout w:type="fixed"/>
        <w:tblCellMar>
          <w:top w:w="28" w:type="dxa"/>
          <w:left w:w="28" w:type="dxa"/>
          <w:bottom w:w="28" w:type="dxa"/>
          <w:right w:w="28" w:type="dxa"/>
        </w:tblCellMar>
      </w:tblPr>
      <w:tblGrid>
        <w:gridCol w:w="993"/>
        <w:gridCol w:w="874"/>
        <w:gridCol w:w="877"/>
        <w:gridCol w:w="287"/>
        <w:gridCol w:w="839"/>
        <w:gridCol w:w="148"/>
        <w:gridCol w:w="109"/>
        <w:gridCol w:w="109"/>
        <w:gridCol w:w="109"/>
        <w:gridCol w:w="344"/>
        <w:gridCol w:w="1175"/>
        <w:gridCol w:w="251"/>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Massachusetts Note</w:t>
            </w:r>
            <w:r>
              <w:rPr>
                <w:rFonts w:ascii="Times New Roman;sans-serif" w:hAnsi="Times New Roman;sans-serif"/>
                <w:b w:val="false"/>
                <w:color w:val="000000"/>
                <w:sz w:val="13"/>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MMNY - working capital loan</w:t>
            </w:r>
            <w:r>
              <w:rPr>
                <w:rFonts w:ascii="Times New Roman;sans-serif" w:hAnsi="Times New Roman;sans-serif"/>
                <w:b w:val="false"/>
                <w:color w:val="000000"/>
                <w:sz w:val="13"/>
              </w:rPr>
              <w:t>(2)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Maryland Loan Receivable</w:t>
            </w:r>
            <w:r>
              <w:rPr>
                <w:rFonts w:ascii="Times New Roman;sans-serif" w:hAnsi="Times New Roman;sans-serif"/>
                <w:b w:val="false"/>
                <w:color w:val="000000"/>
                <w:sz w:val="13"/>
              </w:rPr>
              <w:t>(3)</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 May 2022 the Company issued a secured promissory note to a retail dispensary license holder in Massachusetts providing up to $3,500 of funding, which note was amended in December 2023 (the “Massachusetts Note”). As amended, the Massachusetts Note bears interest at a rate of 12.5% per annum, which is to be paid monthly beginning in January 2024, and principal is to be repaid monthly commencing in December 2024 based on a period of twenty-four months, with the remainder due at the December 1, 2025 revised maturity date. In April 2024, the Massachusetts Note was further amended to increase the principal to $4,100 and the additional payment was funded at that time. A total of $4,100 is outstanding under the Massachusetts Note as of June 30, 2024, of which $1,209 is included in “Notes receivable” and $2,891 is included in “Other noncurrent assets,” respectively, on the unaudited Condensed Consolidated Balance Sheet as of that date. A total of $3,500 was outstanding as of December 31, 2023, of which $147 was included in “Notes receivable” and $3,353 was included in “Other noncurrent assets.”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During the three and six months ended June 30, 2024, the Company increased its estimated reserve on the amounts outstanding from MMNY to include the remaining balances, including this working capital loan. The Company is pursuing collection of these amounts through its legal proceedings against MMNY, refer to Note 15, “Commitments and Contingencies,”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original maturity date of August 1, 2026, required monthly repayments equal to 10.0% of the outstanding balance (including paid-in-kind interest), and could be prepaid subject to a customary make-whole payment or prepayment penalty, as applicable. Mandatory prepayments were required from the proceeds of certain events. The Maryland Loan Agreement provided for a base interest rate of 12.0% plus LIBOR (LIBOR floor of 1.0%) and a paid-in-kind interest rate of 4.5%. Following the replacement of LIBOR, effective July 1, 2023, the LIBOR component of the interest rate transitioned to the secured overnight financing rate (“SOFR”) plus an alternative reference rate committee (“ARRC”) standard adjustment.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including non-payment, and provided an acceleration notice during the second quarter of 2023 that declared all amounts due and payable. As such, during 2023 the Company established a reserve of $1,804 for potential collectability.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The initial discount of $984 on the noncurrent portion is included within “General and administrative expenses” on the unaudited Condensed Consolidated Statements of Operations for the six months ended June 30, 2024 and within “Other” on the unaudited Condensed Consolidated Statements of Cash Flows. This discount was calculated utilizing the Company’s estimated incremental borrowing rate as of the agreement date and will be accreted to interest income over the agreement term. Of the total receivable, $2,000 is included within “Other current assets” and $3,098 is included within “Other noncurrent assets” on the unaudited Condensed Consolidated Balance Sheet as of June 30, 2024. A total of $500 of inventory was supplied under this agreement during the three months ended June 30, 2024. The total settlement value, excluding the discount, approximated the obligations outstanding under the Maryland Loan Receivable, including $2,859 of past due interest that was outstanding as of December 31, 2023 and was included within “Other current assets” on the unaudited Condensed Consolidated Balance Sheet as of that date.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total of $3,934 is outstanding at June 30, 2024 related to a promissory note issued to the owner of a property that the Company is leasing, of which $173 and $3,761 is included in “Other current assets” and “Other noncurrent assets,” respectively, on the unaudited Condensed Consolidated Balance Sheets. At December 31, 2023, $4,018 was outstanding, of which $170 and $3,848 is included in “Other current assets” and “Other noncurrent assets,” respectively, on the unaudited Condensed Consolidated Balance Sheets.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losses on notes receivable were recognized during the six months ended June 30, 2024 or 2023, other than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6249" w:type="dxa"/>
        <w:jc w:val="left"/>
        <w:tblInd w:w="0" w:type="dxa"/>
        <w:tblLayout w:type="fixed"/>
        <w:tblCellMar>
          <w:top w:w="28" w:type="dxa"/>
          <w:left w:w="28" w:type="dxa"/>
          <w:bottom w:w="28" w:type="dxa"/>
          <w:right w:w="28" w:type="dxa"/>
        </w:tblCellMar>
      </w:tblPr>
      <w:tblGrid>
        <w:gridCol w:w="1040"/>
        <w:gridCol w:w="916"/>
        <w:gridCol w:w="923"/>
        <w:gridCol w:w="234"/>
        <w:gridCol w:w="919"/>
        <w:gridCol w:w="121"/>
        <w:gridCol w:w="109"/>
        <w:gridCol w:w="109"/>
        <w:gridCol w:w="109"/>
        <w:gridCol w:w="313"/>
        <w:gridCol w:w="1228"/>
        <w:gridCol w:w="228"/>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192,807 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gross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348,238 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269,699 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268,082 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 was $9,139 and $8,281 during the three months ended June 30, 2024 and 2023, respectively, and $18,284 and $16,427 during the six months ended June 30, 2024 and 2023, respectively. Total depreciation expense capitalized to inventory was $6,488 and $6,231 during the three months ended June 30, 2024 and 2023, respectively, and $13,051 and $12,401 during the six months ended June 30, 2024 and 2023, respectively. At June 30, 2024 and December 31, 2023, $4,920 and $5,510, respectively, of depreciation expense remained capitalized as part of inventory.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includes equipment with a gross value of $2,321 as of each of June 30, 2024 and December 31, 2023 and accumulated amortization of $827 and $549, respectively, that the Company is renting under finance leases pursuant to a master lease agreement that was entered into in June 2022 and allows for an aggregate of $15,000 of such leases. Refer to Note 10, “Leases,” for additional information regarding our lease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8. VARIABLE INTEREST ENTITIES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Recent Transactions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January 2024 Loan Agreement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entered into a loan agreement pursuant to which the Company may provide, at its sole discretion, up to $2,500 of financing to a third party (the “January 2024 Loan Agreement”). The January 2024 Loan Agreement contains certain provisions and restrictive covenants that provide the Company with operational and financial influence over the underlying entity and also provides the Company with financial distributions based on the underlying associated results of operations. Additionally,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The Company determined that the terms and provisions of the January 2024 Loan Agreement create a variable interest in the third-party entity and met the criteria for consolidation as of such date. The third-party entity received a conditional license approval for one dispensary in New Jersey that was determined to have a fair value of $1,050, which approximated the fair value of the non-controlling interest held by the third-party member as of the effective date. The net loss attributable to the non-controlling interest was not significant during the three and six months ended June 30, 2024.</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and provides for a default penalty of an additional 6.0% interest. Borrowings are due on the sixth anniversary of the January 2024 Loan Agreement, which may be extended by two additional two-year periods, and prepayment is permitted with prior written notice. Since the entity is consolidated as a VIE, the intercompany activity related to the January 2024 Loan Agreement is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February 2024 Loan Agreement</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In February 2024, the Company entered into a loan agreement pursuant to which the Company may provide financing to a third party, at its sole discretion (the “February 2024 Loan Agreement”). The February 2024 Loan Agreement initially provided for up to $3,750 of financing, but was amended in July 2024 to increase the funding amount based on the Company’s sole discretion at such a time that the borrower requests additional funding. The parties also entered into a support services agreement under which the Company will provide management and advisory services for a set monthly fee. The terms of the February 2024 Loan Agreement contain certain provisions and restrictive covenants that provide the Company with operational and financial influence over the underlying entity. The February 2024 Loan Agreement provides the Company with the option to convert the outstanding balance into equity interests of the borrower, up to 100%, as may be permissible by applicable regulations at such time. The Company determined that the terms and provisions of the February 2024 Loan Agreement and support services agreement create a variable interest in the third-party entity and met the criteria for consolidation as of such date. The entity held no assets at the time the agreements were entered into and the non-controlling interest was determined to have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fair value as of that date. The net loss attributable to the non-controlling interest was not significant during the three and six months ended June 30, 2024.</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February 2024 Loan Agreement bear interest at a rate of 20.0% per annum and are secured by substantially all of the assets of the borrower. The February 2024 Loan Agreement provides for customary events of default, contains certain covenants and other restrictions, and provides for a default penalty of an additional 5.0% interest. The February 2024 Loan Agreement matures ten years from issuance, but may be extended if not otherwise converted prior to maturity, with borrowings and interest not due until such time. Since the entity is consolidated as a VIE, the intercompany activity related to the February 2024 Loan Agreement and the related support services agreement is eliminated in consolidation.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Financial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summarized financial information about the Company’s consolidated VIEs which are included in the unaudited Condensed Consolidated Balance Sheets as of June 30, 2024 and December 31, 2023 and in the unaudited Condensed Consolidated Statements of Operations for the three and six months ended June 30, 2024 and 2023, as applicable. The underlying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and includes the related acquisition details disclosed in Note 4, “Acquisitions.” </w:t>
      </w:r>
    </w:p>
    <w:tbl>
      <w:tblPr>
        <w:tblW w:w="5380" w:type="dxa"/>
        <w:jc w:val="left"/>
        <w:tblInd w:w="0" w:type="dxa"/>
        <w:tblLayout w:type="fixed"/>
        <w:tblCellMar>
          <w:top w:w="28" w:type="dxa"/>
          <w:left w:w="28" w:type="dxa"/>
          <w:bottom w:w="28" w:type="dxa"/>
          <w:right w:w="28" w:type="dxa"/>
        </w:tblCellMar>
      </w:tblPr>
      <w:tblGrid>
        <w:gridCol w:w="729"/>
        <w:gridCol w:w="640"/>
        <w:gridCol w:w="641"/>
        <w:gridCol w:w="287"/>
        <w:gridCol w:w="839"/>
        <w:gridCol w:w="148"/>
        <w:gridCol w:w="109"/>
        <w:gridCol w:w="109"/>
        <w:gridCol w:w="109"/>
        <w:gridCol w:w="448"/>
        <w:gridCol w:w="992"/>
        <w:gridCol w:w="329"/>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7" w:type="dxa"/>
        <w:jc w:val="left"/>
        <w:tblInd w:w="0" w:type="dxa"/>
        <w:tblLayout w:type="fixed"/>
        <w:tblCellMar>
          <w:top w:w="28" w:type="dxa"/>
          <w:left w:w="28" w:type="dxa"/>
          <w:bottom w:w="28" w:type="dxa"/>
          <w:right w:w="28" w:type="dxa"/>
        </w:tblCellMar>
      </w:tblPr>
      <w:tblGrid>
        <w:gridCol w:w="429"/>
        <w:gridCol w:w="377"/>
        <w:gridCol w:w="378"/>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35"/>
        <w:gridCol w:w="455"/>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434" w:type="dxa"/>
            <w:gridSpan w:val="12"/>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9. INTANGIBLE ASSETS AND GOODWILL</w:t>
      </w:r>
    </w:p>
    <w:tbl>
      <w:tblPr>
        <w:tblW w:w="5725" w:type="dxa"/>
        <w:jc w:val="left"/>
        <w:tblInd w:w="0" w:type="dxa"/>
        <w:tblLayout w:type="fixed"/>
        <w:tblCellMar>
          <w:top w:w="28" w:type="dxa"/>
          <w:left w:w="28" w:type="dxa"/>
          <w:bottom w:w="28" w:type="dxa"/>
          <w:right w:w="28" w:type="dxa"/>
        </w:tblCellMar>
      </w:tblPr>
      <w:tblGrid>
        <w:gridCol w:w="853"/>
        <w:gridCol w:w="750"/>
        <w:gridCol w:w="752"/>
        <w:gridCol w:w="234"/>
        <w:gridCol w:w="919"/>
        <w:gridCol w:w="121"/>
        <w:gridCol w:w="109"/>
        <w:gridCol w:w="109"/>
        <w:gridCol w:w="109"/>
        <w:gridCol w:w="313"/>
        <w:gridCol w:w="1228"/>
        <w:gridCol w:w="22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271,210 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216,153 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221,452 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ans-serif" w:hAnsi="Times New Roman;sans-serif"/>
          <w:b w:val="false"/>
          <w:color w:val="000000"/>
          <w:sz w:val="20"/>
        </w:rPr>
        <w:t>Amortization expense related to intangible assets was $6,679 and $5,676 during the three</w:t>
      </w:r>
      <w:r>
        <w:rPr>
          <w:color w:val="070707"/>
        </w:rPr>
        <w:t xml:space="preserve"> </w:t>
      </w:r>
      <w:r>
        <w:rPr>
          <w:rFonts w:ascii="Times New Roman;sans-serif" w:hAnsi="Times New Roman;sans-serif"/>
          <w:b w:val="false"/>
          <w:color w:val="070707"/>
          <w:sz w:val="20"/>
        </w:rPr>
        <w:t xml:space="preserve">months ended June 30, 2024 and 2023, respectively, and </w:t>
      </w:r>
      <w:r>
        <w:rPr>
          <w:rFonts w:ascii="Times New Roman;sans-serif" w:hAnsi="Times New Roman;sans-serif"/>
          <w:b w:val="false"/>
          <w:color w:val="000000"/>
          <w:sz w:val="20"/>
        </w:rPr>
        <w:t xml:space="preserve">$13,569 and $11,827 </w:t>
      </w:r>
      <w:r>
        <w:rPr>
          <w:rFonts w:ascii="Times New Roman;sans-serif" w:hAnsi="Times New Roman;sans-serif"/>
          <w:b w:val="false"/>
          <w:color w:val="070707"/>
          <w:sz w:val="20"/>
        </w:rPr>
        <w:t xml:space="preserve">during the </w:t>
      </w:r>
      <w:r>
        <w:rPr>
          <w:rFonts w:ascii="Times New Roman;sans-serif" w:hAnsi="Times New Roman;sans-serif"/>
          <w:b w:val="false"/>
          <w:color w:val="000000"/>
          <w:sz w:val="20"/>
        </w:rPr>
        <w:t>six</w:t>
      </w:r>
      <w:r>
        <w:rPr>
          <w:color w:val="070707"/>
        </w:rPr>
        <w:t xml:space="preserve"> </w:t>
      </w:r>
      <w:r>
        <w:rPr>
          <w:rFonts w:ascii="Times New Roman;sans-serif" w:hAnsi="Times New Roman;sans-serif"/>
          <w:b w:val="false"/>
          <w:color w:val="070707"/>
          <w:sz w:val="20"/>
        </w:rPr>
        <w:t xml:space="preserve">months ended June 30, 2024 and 2023, respectively. Total amortization expense capitalized to inventory was $754 and $686 </w:t>
      </w:r>
      <w:r>
        <w:rPr>
          <w:rFonts w:ascii="Times New Roman;sans-serif" w:hAnsi="Times New Roman;sans-serif"/>
          <w:b w:val="false"/>
          <w:color w:val="000000"/>
          <w:sz w:val="20"/>
        </w:rPr>
        <w:t>during the three</w:t>
      </w:r>
      <w:r>
        <w:rPr>
          <w:color w:val="070707"/>
        </w:rPr>
        <w:t xml:space="preserve"> </w:t>
      </w:r>
      <w:r>
        <w:rPr>
          <w:rFonts w:ascii="Times New Roman;sans-serif" w:hAnsi="Times New Roman;sans-serif"/>
          <w:b w:val="false"/>
          <w:color w:val="070707"/>
          <w:sz w:val="20"/>
        </w:rPr>
        <w:t xml:space="preserve">months ended June 30, 2024 and 2023, respectively, and </w:t>
      </w:r>
      <w:r>
        <w:rPr>
          <w:rFonts w:ascii="Times New Roman;sans-serif" w:hAnsi="Times New Roman;sans-serif"/>
          <w:b w:val="false"/>
          <w:color w:val="000000"/>
          <w:sz w:val="20"/>
        </w:rPr>
        <w:t xml:space="preserve">$1,508 and $1,421 </w:t>
      </w:r>
      <w:r>
        <w:rPr>
          <w:rFonts w:ascii="Times New Roman;sans-serif" w:hAnsi="Times New Roman;sans-serif"/>
          <w:b w:val="false"/>
          <w:color w:val="070707"/>
          <w:sz w:val="20"/>
        </w:rPr>
        <w:t xml:space="preserve">during the </w:t>
      </w:r>
      <w:r>
        <w:rPr>
          <w:rFonts w:ascii="Times New Roman;sans-serif" w:hAnsi="Times New Roman;sans-serif"/>
          <w:b w:val="false"/>
          <w:color w:val="000000"/>
          <w:sz w:val="20"/>
        </w:rPr>
        <w:t>six</w:t>
      </w:r>
      <w:r>
        <w:rPr>
          <w:color w:val="070707"/>
        </w:rPr>
        <w:t xml:space="preserve"> </w:t>
      </w:r>
      <w:r>
        <w:rPr>
          <w:rFonts w:ascii="Times New Roman;sans-serif" w:hAnsi="Times New Roman;sans-serif"/>
          <w:b w:val="false"/>
          <w:color w:val="070707"/>
          <w:sz w:val="20"/>
        </w:rPr>
        <w:t xml:space="preserve">months ended June 30, 2024 and 2023, respectively. </w:t>
      </w:r>
      <w:r>
        <w:rPr>
          <w:rFonts w:ascii="Times New Roman;sans-serif" w:hAnsi="Times New Roman;sans-serif"/>
          <w:b w:val="false"/>
          <w:color w:val="000000"/>
          <w:sz w:val="20"/>
        </w:rPr>
        <w:t xml:space="preserve">At June 30, 2024 and December 31, 2023, $1,298 and $916, respectively, of amortization expense remained capitalized as part of inventory. </w:t>
      </w:r>
    </w:p>
    <w:p>
      <w:pPr>
        <w:pStyle w:val="TextBody"/>
        <w:bidi w:val="0"/>
        <w:spacing w:lineRule="auto" w:line="288" w:before="0" w:after="180"/>
        <w:ind w:left="0" w:right="0" w:firstLine="720"/>
        <w:jc w:val="both"/>
        <w:rPr/>
      </w:pPr>
      <w:r>
        <w:rPr>
          <w:rFonts w:ascii="Times New Roman;sans-serif" w:hAnsi="Times New Roman;sans-serif"/>
          <w:b w:val="false"/>
          <w:color w:val="070707"/>
          <w:sz w:val="20"/>
        </w:rPr>
        <w:t xml:space="preserve">No impairment indicators were noted during the </w:t>
      </w:r>
      <w:r>
        <w:rPr>
          <w:rFonts w:ascii="Times New Roman;sans-serif" w:hAnsi="Times New Roman;sans-serif"/>
          <w:b w:val="false"/>
          <w:color w:val="000000"/>
          <w:sz w:val="20"/>
        </w:rPr>
        <w:t>six</w:t>
      </w:r>
      <w:r>
        <w:rPr>
          <w:color w:val="070707"/>
        </w:rPr>
        <w:t xml:space="preserve"> </w:t>
      </w:r>
      <w:r>
        <w:rPr>
          <w:rFonts w:ascii="Times New Roman;sans-serif" w:hAnsi="Times New Roman;sans-serif"/>
          <w:b w:val="false"/>
          <w:color w:val="070707"/>
          <w:sz w:val="20"/>
        </w:rPr>
        <w:t>months ended June 30, 2024 or 2023 and, as such, w</w:t>
      </w:r>
      <w:r>
        <w:rPr>
          <w:rFonts w:ascii="Times New Roman;sans-serif" w:hAnsi="Times New Roman;sans-serif"/>
          <w:b w:val="false"/>
          <w:color w:val="000000"/>
          <w:sz w:val="20"/>
        </w:rPr>
        <w:t xml:space="preserve">e did not record any impairment charges during either period. </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Goodwill</w:t>
      </w:r>
    </w:p>
    <w:tbl>
      <w:tblPr>
        <w:tblW w:w="5012"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211"/>
        <w:gridCol w:w="721"/>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Adjustments to purchase price allocation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Refer to Note 4, “Acquisitions,”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land, buildings, equipment, and other capital assets which it uses for corporate purposes and the production and sale of cannabis products with terms generally ranging from 1 to 20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lease liabilities and their classification on the unaudited Condensed Consolidated Balance Sheets were as follows:</w:t>
      </w:r>
    </w:p>
    <w:tbl>
      <w:tblPr>
        <w:tblW w:w="9077" w:type="dxa"/>
        <w:jc w:val="left"/>
        <w:tblInd w:w="0" w:type="dxa"/>
        <w:tblLayout w:type="fixed"/>
        <w:tblCellMar>
          <w:top w:w="28" w:type="dxa"/>
          <w:left w:w="28" w:type="dxa"/>
          <w:bottom w:w="28" w:type="dxa"/>
          <w:right w:w="28" w:type="dxa"/>
        </w:tblCellMar>
      </w:tblPr>
      <w:tblGrid>
        <w:gridCol w:w="686"/>
        <w:gridCol w:w="601"/>
        <w:gridCol w:w="602"/>
        <w:gridCol w:w="109"/>
        <w:gridCol w:w="109"/>
        <w:gridCol w:w="109"/>
        <w:gridCol w:w="1054"/>
        <w:gridCol w:w="1054"/>
        <w:gridCol w:w="1056"/>
        <w:gridCol w:w="109"/>
        <w:gridCol w:w="109"/>
        <w:gridCol w:w="109"/>
        <w:gridCol w:w="234"/>
        <w:gridCol w:w="919"/>
        <w:gridCol w:w="121"/>
        <w:gridCol w:w="109"/>
        <w:gridCol w:w="109"/>
        <w:gridCol w:w="109"/>
        <w:gridCol w:w="313"/>
        <w:gridCol w:w="1228"/>
        <w:gridCol w:w="228"/>
      </w:tblGrid>
      <w:tr>
        <w:trPr/>
        <w:tc>
          <w:tcPr>
            <w:tcW w:w="6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261,087 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272,713 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266,439 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and classification within the unaudited Condensed Consolidated Statements of Operations were as follows:</w:t>
      </w:r>
    </w:p>
    <w:tbl>
      <w:tblPr>
        <w:tblW w:w="8175" w:type="dxa"/>
        <w:jc w:val="left"/>
        <w:tblInd w:w="0" w:type="dxa"/>
        <w:tblLayout w:type="fixed"/>
        <w:tblCellMar>
          <w:top w:w="28" w:type="dxa"/>
          <w:left w:w="28" w:type="dxa"/>
          <w:bottom w:w="28" w:type="dxa"/>
          <w:right w:w="28" w:type="dxa"/>
        </w:tblCellMar>
      </w:tblPr>
      <w:tblGrid>
        <w:gridCol w:w="1119"/>
        <w:gridCol w:w="985"/>
        <w:gridCol w:w="986"/>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to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leased assets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as a component of depreciation expense within “General and administrative expenses” on the accompanying unaudited Condensed Consolidated Statements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and December 31, 2023, $6,760 and $6,028, respectively, of lease costs remained capitalized in inventory.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short-term and variable lease costs:</w:t>
      </w:r>
    </w:p>
    <w:tbl>
      <w:tblPr>
        <w:tblW w:w="7995" w:type="dxa"/>
        <w:jc w:val="left"/>
        <w:tblInd w:w="0" w:type="dxa"/>
        <w:tblLayout w:type="fixed"/>
        <w:tblCellMar>
          <w:top w:w="28" w:type="dxa"/>
          <w:left w:w="28" w:type="dxa"/>
          <w:bottom w:w="28" w:type="dxa"/>
          <w:right w:w="28" w:type="dxa"/>
        </w:tblCellMar>
      </w:tblPr>
      <w:tblGrid>
        <w:gridCol w:w="1222"/>
        <w:gridCol w:w="1075"/>
        <w:gridCol w:w="1078"/>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and variable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income generated during the three and six months ended June 30, 2024 and 2023 was immaterial.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supplemental cash and non-cash information related to our leases:</w:t>
      </w:r>
    </w:p>
    <w:tbl>
      <w:tblPr>
        <w:tblW w:w="8586" w:type="dxa"/>
        <w:jc w:val="left"/>
        <w:tblInd w:w="0" w:type="dxa"/>
        <w:tblLayout w:type="fixed"/>
        <w:tblCellMar>
          <w:top w:w="28" w:type="dxa"/>
          <w:left w:w="28" w:type="dxa"/>
          <w:bottom w:w="28" w:type="dxa"/>
          <w:right w:w="28" w:type="dxa"/>
        </w:tblCellMar>
      </w:tblPr>
      <w:tblGrid>
        <w:gridCol w:w="2100"/>
        <w:gridCol w:w="1845"/>
        <w:gridCol w:w="1860"/>
        <w:gridCol w:w="109"/>
        <w:gridCol w:w="109"/>
        <w:gridCol w:w="109"/>
        <w:gridCol w:w="211"/>
        <w:gridCol w:w="721"/>
        <w:gridCol w:w="109"/>
        <w:gridCol w:w="109"/>
        <w:gridCol w:w="109"/>
        <w:gridCol w:w="109"/>
        <w:gridCol w:w="211"/>
        <w:gridCol w:w="72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remaining lease term and discount rate:</w:t>
      </w:r>
    </w:p>
    <w:tbl>
      <w:tblPr>
        <w:tblW w:w="7061" w:type="dxa"/>
        <w:jc w:val="left"/>
        <w:tblInd w:w="0" w:type="dxa"/>
        <w:tblLayout w:type="fixed"/>
        <w:tblCellMar>
          <w:top w:w="28" w:type="dxa"/>
          <w:left w:w="28" w:type="dxa"/>
          <w:bottom w:w="28" w:type="dxa"/>
          <w:right w:w="28" w:type="dxa"/>
        </w:tblCellMar>
      </w:tblPr>
      <w:tblGrid>
        <w:gridCol w:w="1337"/>
        <w:gridCol w:w="1174"/>
        <w:gridCol w:w="1179"/>
        <w:gridCol w:w="282"/>
        <w:gridCol w:w="282"/>
        <w:gridCol w:w="711"/>
        <w:gridCol w:w="109"/>
        <w:gridCol w:w="109"/>
        <w:gridCol w:w="109"/>
        <w:gridCol w:w="360"/>
        <w:gridCol w:w="360"/>
        <w:gridCol w:w="1049"/>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term (years)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June 30, 2024 are as follows:</w:t>
      </w:r>
    </w:p>
    <w:tbl>
      <w:tblPr>
        <w:tblW w:w="8029" w:type="dxa"/>
        <w:jc w:val="left"/>
        <w:tblInd w:w="0" w:type="dxa"/>
        <w:tblLayout w:type="fixed"/>
        <w:tblCellMar>
          <w:top w:w="28" w:type="dxa"/>
          <w:left w:w="28" w:type="dxa"/>
          <w:bottom w:w="28" w:type="dxa"/>
          <w:right w:w="28" w:type="dxa"/>
        </w:tblCellMar>
      </w:tblPr>
      <w:tblGrid>
        <w:gridCol w:w="1005"/>
        <w:gridCol w:w="884"/>
        <w:gridCol w:w="885"/>
        <w:gridCol w:w="447"/>
        <w:gridCol w:w="1752"/>
        <w:gridCol w:w="231"/>
        <w:gridCol w:w="109"/>
        <w:gridCol w:w="109"/>
        <w:gridCol w:w="109"/>
        <w:gridCol w:w="504"/>
        <w:gridCol w:w="1470"/>
        <w:gridCol w:w="261"/>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683,642 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271,261 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Times New Roman;sans-serif" w:hAnsi="Times New Roman;sans-serif"/>
          <w:b/>
          <w:i/>
          <w:color w:val="000000"/>
          <w:sz w:val="20"/>
        </w:rPr>
      </w:pPr>
      <w:r>
        <w:rPr>
          <w:rFonts w:ascii="Times New Roman;sans-serif" w:hAnsi="Times New Roman;sans-serif"/>
          <w:b/>
          <w:i/>
          <w:color w:val="000000"/>
          <w:sz w:val="20"/>
        </w:rPr>
        <w:t>Sale Leaseback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cash payments due under transactions that did not qualify for sale 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 </w:t>
      </w:r>
    </w:p>
    <w:tbl>
      <w:tblPr>
        <w:tblW w:w="10205" w:type="dxa"/>
        <w:jc w:val="left"/>
        <w:tblInd w:w="0" w:type="dxa"/>
        <w:tblLayout w:type="fixed"/>
        <w:tblCellMar>
          <w:top w:w="28" w:type="dxa"/>
          <w:left w:w="28" w:type="dxa"/>
          <w:bottom w:w="28" w:type="dxa"/>
          <w:right w:w="28" w:type="dxa"/>
        </w:tblCellMar>
      </w:tblPr>
      <w:tblGrid>
        <w:gridCol w:w="405"/>
        <w:gridCol w:w="293"/>
        <w:gridCol w:w="294"/>
        <w:gridCol w:w="109"/>
        <w:gridCol w:w="109"/>
        <w:gridCol w:w="109"/>
        <w:gridCol w:w="240"/>
        <w:gridCol w:w="704"/>
        <w:gridCol w:w="12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11. DEBT</w:t>
      </w:r>
    </w:p>
    <w:tbl>
      <w:tblPr>
        <w:tblW w:w="6955" w:type="dxa"/>
        <w:jc w:val="left"/>
        <w:tblInd w:w="0" w:type="dxa"/>
        <w:tblLayout w:type="fixed"/>
        <w:tblCellMar>
          <w:top w:w="28" w:type="dxa"/>
          <w:left w:w="28" w:type="dxa"/>
          <w:bottom w:w="28" w:type="dxa"/>
          <w:right w:w="28" w:type="dxa"/>
        </w:tblCellMar>
      </w:tblPr>
      <w:tblGrid>
        <w:gridCol w:w="1300"/>
        <w:gridCol w:w="1140"/>
        <w:gridCol w:w="1145"/>
        <w:gridCol w:w="234"/>
        <w:gridCol w:w="919"/>
        <w:gridCol w:w="121"/>
        <w:gridCol w:w="109"/>
        <w:gridCol w:w="109"/>
        <w:gridCol w:w="109"/>
        <w:gridCol w:w="313"/>
        <w:gridCol w:w="1228"/>
        <w:gridCol w:w="228"/>
      </w:tblGrid>
      <w:tr>
        <w:trPr/>
        <w:tc>
          <w:tcPr>
            <w:tcW w:w="1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2021 Credit Facility</w:t>
            </w:r>
            <w:r>
              <w:rPr>
                <w:rFonts w:ascii="Times New Roman;sans-serif" w:hAnsi="Times New Roman;sans-serif"/>
                <w:b w:val="false"/>
                <w:color w:val="000000"/>
                <w:sz w:val="13"/>
              </w:rPr>
              <w:t>(1)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Finance liabilities</w:t>
            </w:r>
            <w:r>
              <w:rPr>
                <w:rFonts w:ascii="Times New Roman;sans-serif" w:hAnsi="Times New Roman;sans-serif"/>
                <w:b w:val="false"/>
                <w:color w:val="000000"/>
                <w:sz w:val="13"/>
              </w:rPr>
              <w:t>(2)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(3)</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Financing Agreement</w:t>
            </w:r>
            <w:r>
              <w:rPr>
                <w:rFonts w:ascii="Times New Roman;sans-serif" w:hAnsi="Times New Roman;sans-serif"/>
                <w:b w:val="false"/>
                <w:color w:val="000000"/>
                <w:sz w:val="13"/>
              </w:rPr>
              <w:t>(4)</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(5)</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313,784 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315,149 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debt, net</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297,565 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the expansion feature (the “2022 Loans”) for total borrowings of $275,000 under the 2021 Credit Facility.</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incurred initial financing costs of $8,806 and additional financing costs of $7,606 related to the 2022 Loans, which includes warrants issued to certain lenders to acquire 3,130 shares of Class A common stock that had a fair value of $2,639 at issuance. The financing costs are being amortized to interest expense over the term of 2021 Credit Facility using the straight-line method which approximates the interest rate method.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June 30, 2024.</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June 2024, the 2021 Credit Agreement was amended to, among other things, permit the Company to issue new senior secured notes. In July 2024, the Company issued new senior secured notes, the proceeds of which issuance were, in part, utilized to pre-pay a portion of the amounts outstanding under the 2021 Credit Facility. Refer to Note 18, “Subsequent Events,” for additional information.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Finance liabilities related to failed sale leaseback transactions. See Note 10, “Leases,”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Sellers’ notes consist of amounts owed for acquisitions or other purchases. As of June 30, 2024 and December 31, 2023, $5,600 is outstanding related to the acquisition of one license in Illinois, which is included in “Current portion of debt, net” on the unaudited Condensed Consolidated Balance Sheet at each date and was paid in July 2024. In April 2024, we paid $2,500 related to the acquisition of a second license in Illinois, which was included in “Current portion of debt, net” at December 31, 2023. Sellers’ notes also includes the OPA Sellers’ Note which had balance of $10,358 included in “Current portion of debt, net” at June 30, 2024 and $9,705 that was included within “Long-term debt, net” at December 31, 2023. The $11,000 OPA Sellers’ Note was recorded net of a discount of $3,010 that was calculated utilizing the Company’s estimated incremental borrowing rate based on the anticipated close date that is being accreted to interest expense over the expected term. Additionally, sellers’ notes includes $1,310 related to the Massachusetts Purchase Agreement entered into during 2024, which is included within “Current portion of debt, net” at June 30, 2024. Refer to Note 4, “Acquisitions,” for additional information regarding these transactions.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During the six months ended June 30, 2024, we repaid $786 of sellers’ notes related to the former owners of a previous non-controlling interest, which was included in “Current portion of debt, net” at December 31, 2023.</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 xml:space="preserve">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during the second quarter of 2023. A total of $1,964 of the ERTC Claim remains outstanding as of June 30, 2024 and December 31, 2023, which receivable is included in “Other current assets” on the unaudited Condensed Consolidated Balance Sheets, and the balance outstanding under the Financing Agreement is included in “Current portion of debt, net.”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Liabilities related to finance leases. See Note 10, “Leases,” for additional information.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Debt Maturities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following cash payments are payable under our debt arrangements:</w:t>
      </w:r>
    </w:p>
    <w:tbl>
      <w:tblPr>
        <w:tblW w:w="7668" w:type="dxa"/>
        <w:jc w:val="left"/>
        <w:tblInd w:w="0" w:type="dxa"/>
        <w:tblLayout w:type="fixed"/>
        <w:tblCellMar>
          <w:top w:w="28" w:type="dxa"/>
          <w:left w:w="28" w:type="dxa"/>
          <w:bottom w:w="28" w:type="dxa"/>
          <w:right w:w="28" w:type="dxa"/>
        </w:tblCellMar>
      </w:tblPr>
      <w:tblGrid>
        <w:gridCol w:w="711"/>
        <w:gridCol w:w="626"/>
        <w:gridCol w:w="627"/>
        <w:gridCol w:w="109"/>
        <w:gridCol w:w="109"/>
        <w:gridCol w:w="109"/>
        <w:gridCol w:w="387"/>
        <w:gridCol w:w="1134"/>
        <w:gridCol w:w="203"/>
        <w:gridCol w:w="109"/>
        <w:gridCol w:w="109"/>
        <w:gridCol w:w="109"/>
        <w:gridCol w:w="211"/>
        <w:gridCol w:w="721"/>
        <w:gridCol w:w="109"/>
        <w:gridCol w:w="109"/>
        <w:gridCol w:w="109"/>
        <w:gridCol w:w="109"/>
        <w:gridCol w:w="109"/>
        <w:gridCol w:w="109"/>
        <w:gridCol w:w="109"/>
        <w:gridCol w:w="109"/>
        <w:gridCol w:w="109"/>
        <w:gridCol w:w="109"/>
        <w:gridCol w:w="109"/>
        <w:gridCol w:w="109"/>
        <w:gridCol w:w="211"/>
        <w:gridCol w:w="72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note maturities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Certain cash payments include an interest accretion component. The timing of certain payments may vary based on regulatory approval of the underlying transactions.</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Reflects the borrowings that were outstanding under the 2021 Credit Facility as of June 30, 2024. In July 2024, the Company prepaid of $215,000 of term loans previously issued thereunder, as further discussed in Note 18, “Subsequent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during the three and six months ended June 30, 2024 and 2023 consisted of the following:</w:t>
      </w:r>
    </w:p>
    <w:tbl>
      <w:tblPr>
        <w:tblW w:w="7875" w:type="dxa"/>
        <w:jc w:val="left"/>
        <w:tblInd w:w="0" w:type="dxa"/>
        <w:tblLayout w:type="fixed"/>
        <w:tblCellMar>
          <w:top w:w="28" w:type="dxa"/>
          <w:left w:w="28" w:type="dxa"/>
          <w:bottom w:w="28" w:type="dxa"/>
          <w:right w:w="28" w:type="dxa"/>
        </w:tblCellMar>
      </w:tblPr>
      <w:tblGrid>
        <w:gridCol w:w="1011"/>
        <w:gridCol w:w="887"/>
        <w:gridCol w:w="892"/>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on financing liabilities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Interest on financing liability related to failed sale leaseback transactions. See Note 10, “Leases,”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shares of Class A common stock and Class B common stock outstanding as of June 30, 2024 and December 31, 2023:</w:t>
      </w:r>
    </w:p>
    <w:tbl>
      <w:tblPr>
        <w:tblW w:w="6115" w:type="dxa"/>
        <w:jc w:val="left"/>
        <w:tblInd w:w="0" w:type="dxa"/>
        <w:tblLayout w:type="fixed"/>
        <w:tblCellMar>
          <w:top w:w="28" w:type="dxa"/>
          <w:left w:w="28" w:type="dxa"/>
          <w:bottom w:w="28" w:type="dxa"/>
          <w:right w:w="28" w:type="dxa"/>
        </w:tblCellMar>
      </w:tblPr>
      <w:tblGrid>
        <w:gridCol w:w="994"/>
        <w:gridCol w:w="874"/>
        <w:gridCol w:w="877"/>
        <w:gridCol w:w="424"/>
        <w:gridCol w:w="424"/>
        <w:gridCol w:w="426"/>
        <w:gridCol w:w="109"/>
        <w:gridCol w:w="109"/>
        <w:gridCol w:w="109"/>
        <w:gridCol w:w="517"/>
        <w:gridCol w:w="517"/>
        <w:gridCol w:w="73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A common stock</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213,755 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206,810 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2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206,875</w:t>
            </w:r>
          </w:p>
        </w:tc>
      </w:tr>
    </w:tbl>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warrants activity during the six months ended June 30, 2024:</w:t>
      </w:r>
    </w:p>
    <w:tbl>
      <w:tblPr>
        <w:tblW w:w="10205"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408"/>
        <w:gridCol w:w="408"/>
        <w:gridCol w:w="410"/>
        <w:gridCol w:w="109"/>
        <w:gridCol w:w="109"/>
        <w:gridCol w:w="109"/>
        <w:gridCol w:w="531"/>
        <w:gridCol w:w="1288"/>
        <w:gridCol w:w="276"/>
        <w:gridCol w:w="109"/>
        <w:gridCol w:w="109"/>
        <w:gridCol w:w="109"/>
        <w:gridCol w:w="813"/>
        <w:gridCol w:w="813"/>
        <w:gridCol w:w="815"/>
        <w:gridCol w:w="109"/>
        <w:gridCol w:w="109"/>
        <w:gridCol w:w="109"/>
        <w:gridCol w:w="395"/>
        <w:gridCol w:w="761"/>
        <w:gridCol w:w="300"/>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Warrants</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Remaining Exercise Period</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p>
            <w:pPr>
              <w:pStyle w:val="TableContents"/>
              <w:bidi w:val="0"/>
              <w:spacing w:lineRule="auto" w:line="240" w:before="0" w:after="0"/>
              <w:jc w:val="center"/>
              <w:rPr/>
            </w:pPr>
            <w:r>
              <w:rPr>
                <w:rFonts w:ascii="Times New Roman;sans-serif" w:hAnsi="Times New Roman;sans-serif"/>
                <w:b/>
                <w:i/>
                <w:color w:val="000000"/>
                <w:sz w:val="18"/>
              </w:rPr>
              <w:t>(in thousands)</w:t>
            </w:r>
            <w:r>
              <w:rPr>
                <w:rFonts w:ascii="Times New Roman;sans-serif" w:hAnsi="Times New Roman;sans-serif"/>
                <w:b/>
                <w:color w:val="000000"/>
                <w:sz w:val="12"/>
              </w:rPr>
              <w:t>(1)</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Outstanding, June 30, 2024</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Based on the amount by which the closing market price of our Class A common stock exceeds the exercise price on each date indicated.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warrants outstanding as of June 30, 2024 are equity-classified instruments, are subject to customary anti-dilution adjustments, and are stand-alone instruments. The fair value per warrant was calculated at issuance using a Black-Scholes model and ranged from $0.06 to $0.84. Significant assumptions used in the calculations included volatility ranging from 70.0% to 87.5% and risk-free rates ranging from 0.3% to 4.2%. No warrants were exercised during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13. EQUITY-BASED COMPENSATION EXPENSE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As of June 30, 2024, a total of 9,994 Awards had been granted under the 2020 Plan and, as of June 30, 2024, there are no remaining unvested Awards and no remaining unrecognized compensation cost associated with these Awards. The Awards issued generally vested over two or three years and the estimated fair value of the Awards at issuance was recognized as compensation expense over the related vesting period.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June 30, 2024, there were 4,672 shares of Class A common stock available for grant for future equity-based compensation awards under the Amended 2021 Plan. Activity related to awards issued under the Amended 2021 Plan is further described below. As of June 30, 2024, no SAR Awards and no RSAs had been granted under the Amended 2021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six months ended June 30, 2024:</w:t>
      </w:r>
    </w:p>
    <w:tbl>
      <w:tblPr>
        <w:tblW w:w="10205" w:type="dxa"/>
        <w:jc w:val="left"/>
        <w:tblInd w:w="0" w:type="dxa"/>
        <w:tblLayout w:type="fixed"/>
        <w:tblCellMar>
          <w:top w:w="28" w:type="dxa"/>
          <w:left w:w="28" w:type="dxa"/>
          <w:bottom w:w="28" w:type="dxa"/>
          <w:right w:w="28" w:type="dxa"/>
        </w:tblCellMar>
      </w:tblPr>
      <w:tblGrid>
        <w:gridCol w:w="779"/>
        <w:gridCol w:w="485"/>
        <w:gridCol w:w="489"/>
        <w:gridCol w:w="109"/>
        <w:gridCol w:w="109"/>
        <w:gridCol w:w="109"/>
        <w:gridCol w:w="360"/>
        <w:gridCol w:w="360"/>
        <w:gridCol w:w="361"/>
        <w:gridCol w:w="109"/>
        <w:gridCol w:w="109"/>
        <w:gridCol w:w="109"/>
        <w:gridCol w:w="531"/>
        <w:gridCol w:w="1287"/>
        <w:gridCol w:w="276"/>
        <w:gridCol w:w="109"/>
        <w:gridCol w:w="109"/>
        <w:gridCol w:w="109"/>
        <w:gridCol w:w="822"/>
        <w:gridCol w:w="822"/>
        <w:gridCol w:w="824"/>
        <w:gridCol w:w="109"/>
        <w:gridCol w:w="109"/>
        <w:gridCol w:w="109"/>
        <w:gridCol w:w="379"/>
        <w:gridCol w:w="837"/>
        <w:gridCol w:w="285"/>
      </w:tblGrid>
      <w:tr>
        <w:trPr/>
        <w:tc>
          <w:tcPr>
            <w:tcW w:w="77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r>
      <w:tr>
        <w:trPr/>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Contractual Life </w:t>
            </w:r>
          </w:p>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Aggregate Intrinsic Value</w:t>
            </w:r>
            <w:r>
              <w:rPr>
                <w:rFonts w:ascii="Times New Roman;sans-serif" w:hAnsi="Times New Roman;sans-serif"/>
                <w:b/>
                <w:color w:val="000000"/>
                <w:sz w:val="13"/>
              </w:rPr>
              <w:t>(1)</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Outstanding,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Exercisable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options were exercised during the six months ended June 30, 2024. Total unrecognized stock-based compensation expense related to unvested options was $902 as of June 30, 2024, which is expected to be recognized over a weighted-average remaining period of 2.2 years.</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 during the six months ended June 30, 2024:</w:t>
      </w:r>
    </w:p>
    <w:tbl>
      <w:tblPr>
        <w:tblW w:w="9056" w:type="dxa"/>
        <w:jc w:val="left"/>
        <w:tblInd w:w="0" w:type="dxa"/>
        <w:tblLayout w:type="fixed"/>
        <w:tblCellMar>
          <w:top w:w="28" w:type="dxa"/>
          <w:left w:w="28" w:type="dxa"/>
          <w:bottom w:w="28" w:type="dxa"/>
          <w:right w:w="28" w:type="dxa"/>
        </w:tblCellMar>
      </w:tblPr>
      <w:tblGrid>
        <w:gridCol w:w="923"/>
        <w:gridCol w:w="811"/>
        <w:gridCol w:w="816"/>
        <w:gridCol w:w="539"/>
        <w:gridCol w:w="539"/>
        <w:gridCol w:w="541"/>
        <w:gridCol w:w="109"/>
        <w:gridCol w:w="109"/>
        <w:gridCol w:w="109"/>
        <w:gridCol w:w="1097"/>
        <w:gridCol w:w="2659"/>
        <w:gridCol w:w="80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2023</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(1)(2)</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June 30, 2024</w:t>
            </w:r>
          </w:p>
        </w:tc>
        <w:tc>
          <w:tcPr>
            <w:tcW w:w="10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12,850 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8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RSUs issued for the 2023 annual performance bonus that vested at issuance with a value of $3,304, of which $2,838 is included in “Accounts payable and accrued liabilities” on the unaudited Condensed Consolidated Balance Sheet at December 31, 2023, with the remainder reflected as a change in estimate that is included within “General and administrative expenses” on the unaudited Condensed Consolidated Statements of Operations for the six months ended June 30, 2024.</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Includes 3,820 vested shares that were withheld to cover tax obligations and were subsequently cancelled.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total unrecognized compensation cost related to the RSUs was $14,161, which is expected to be recognized over a weighted-average remaining period of 3.1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Performance Based Awards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Company’s board of directors approved the grant of 4,000 RSUs outside of the Company’s Amended 2021 Plan (the “August 2023 Grant”). The August 2023 Grant was issued pursuant to an employment agreement and vests upon the later of the second anniversary of employment and the achievement of certain stock price targets, as set forth in the table below:</w:t>
      </w:r>
    </w:p>
    <w:tbl>
      <w:tblPr>
        <w:tblW w:w="641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869"/>
        <w:gridCol w:w="869"/>
        <w:gridCol w:w="872"/>
        <w:gridCol w:w="109"/>
        <w:gridCol w:w="109"/>
        <w:gridCol w:w="109"/>
        <w:gridCol w:w="676"/>
        <w:gridCol w:w="676"/>
        <w:gridCol w:w="958"/>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Company Stock Price Target </w:t>
            </w:r>
          </w:p>
          <w:p>
            <w:pPr>
              <w:pStyle w:val="TableContents"/>
              <w:bidi w:val="0"/>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per share</w:t>
            </w:r>
            <w:r>
              <w:rPr>
                <w:rFonts w:ascii="Times New Roman;sans-serif" w:hAnsi="Times New Roman;sans-serif"/>
                <w:b/>
                <w:color w:val="000000"/>
                <w:sz w:val="20"/>
              </w:rPr>
              <w: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Number of Eligible RSUs </w:t>
            </w:r>
          </w:p>
          <w:p>
            <w:pPr>
              <w:pStyle w:val="TableContents"/>
              <w:bidi w:val="0"/>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in thousands</w:t>
            </w:r>
            <w:r>
              <w:rPr>
                <w:rFonts w:ascii="Times New Roman;sans-serif" w:hAnsi="Times New Roman;sans-serif"/>
                <w:b/>
                <w:color w:val="000000"/>
                <w:sz w:val="20"/>
              </w:rPr>
              <w:t>)</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The market price of the Company’s Class A common stock must exceed the target price per share for 30 days during a 60-day period.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time-based vesting condition and market conditions, which must both be met and were not achieved as of June 30, 2024, continued service to the Company is required as of the date the conditions are satisfied. The grant date fair value of the August 2023 Grant was calculated using a Monte Carlo simulation, which inputs included a volatility rate of 107.7%, a risk-free rate of 4.0%, a market price of $0.65 per share on the grant date, and an expected term of 9 years. The total fair value of the August 2023 Grant was $2,177 and will be recognized as compensation expense over the requisite service period, which, for this award, is the longer of the explicit, implicit, and derived service period. The total fair value of the August 2023 Grant will be recognized regardless of whether the market conditions are satisfied, provided that the requisite service period has been completed. As of June 30, 2024, the total unrecognized compensation expense related to the August 2023 Grant was $1,539, which is expected to be recognized over a weighted-average period of 2.2 years.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Compensation Expense by Type of Award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equity-based compensation expense by type of award for the periods presented:</w:t>
      </w:r>
    </w:p>
    <w:tbl>
      <w:tblPr>
        <w:tblW w:w="8490" w:type="dxa"/>
        <w:jc w:val="left"/>
        <w:tblInd w:w="0" w:type="dxa"/>
        <w:tblLayout w:type="fixed"/>
        <w:tblCellMar>
          <w:top w:w="28" w:type="dxa"/>
          <w:left w:w="28" w:type="dxa"/>
          <w:bottom w:w="28" w:type="dxa"/>
          <w:right w:w="28" w:type="dxa"/>
        </w:tblCellMar>
      </w:tblPr>
      <w:tblGrid>
        <w:gridCol w:w="1310"/>
        <w:gridCol w:w="1151"/>
        <w:gridCol w:w="115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equity-based compensation expense, $2,105 and $2,259 was capitalized to inventory during the three months ended June 30, 2024 and 2023, respectively, and $6,352 and $3,859 was capitalized to inventory during the six months ended June 30, 2024 and 2023, respectively. As of June 30, 2024 and December 31, 2023, $1,773 and $1,968, respectively, remained capitalized in inventory. During the three months ended June 30, 2024 and 2023, we recognized $3,179 and $2,198, respectively, within “General and administrative expenses” on the unaudited Condensed Consolidated Statements of Operations and we recognized $4,336 and $1,931, respectively, within “Cost of goods sold.” During the six months ended June 30, 2024 and 2023, we recognized $9,648 and $5,153, respectively, within “General and administrative expenses” on the unaudited Condensed Consolidated Statements of Operations and we recognized $6,547 and $1,981, respectively, within “Cost of goods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14. INCOME TAXES</w:t>
      </w:r>
    </w:p>
    <w:tbl>
      <w:tblPr>
        <w:tblW w:w="8837" w:type="dxa"/>
        <w:jc w:val="left"/>
        <w:tblInd w:w="0" w:type="dxa"/>
        <w:tblLayout w:type="fixed"/>
        <w:tblCellMar>
          <w:top w:w="28" w:type="dxa"/>
          <w:left w:w="28" w:type="dxa"/>
          <w:bottom w:w="28" w:type="dxa"/>
          <w:right w:w="28" w:type="dxa"/>
        </w:tblCellMar>
      </w:tblPr>
      <w:tblGrid>
        <w:gridCol w:w="1058"/>
        <w:gridCol w:w="931"/>
        <w:gridCol w:w="935"/>
        <w:gridCol w:w="211"/>
        <w:gridCol w:w="721"/>
        <w:gridCol w:w="271"/>
        <w:gridCol w:w="109"/>
        <w:gridCol w:w="109"/>
        <w:gridCol w:w="109"/>
        <w:gridCol w:w="211"/>
        <w:gridCol w:w="721"/>
        <w:gridCol w:w="271"/>
        <w:gridCol w:w="109"/>
        <w:gridCol w:w="109"/>
        <w:gridCol w:w="109"/>
        <w:gridCol w:w="211"/>
        <w:gridCol w:w="796"/>
        <w:gridCol w:w="271"/>
        <w:gridCol w:w="109"/>
        <w:gridCol w:w="109"/>
        <w:gridCol w:w="109"/>
        <w:gridCol w:w="211"/>
        <w:gridCol w:w="721"/>
        <w:gridCol w:w="316"/>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on 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internal revenue service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during the second quarter of 2023, Illinois and New Jersey, two states in which the Company has significant operations, began permitting cannabis businesses to deduct ordinary and necessary business expenses from gross profit for state tax purposes. As such, the effective tax rate for the three and six months ended June 30, 2024 reflects an incremental benefit from this change and varies from the effective tax rate for the three and six months ended June 30, 2023.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tbl>
      <w:tblPr>
        <w:tblW w:w="7631" w:type="dxa"/>
        <w:jc w:val="left"/>
        <w:tblInd w:w="0" w:type="dxa"/>
        <w:tblLayout w:type="fixed"/>
        <w:tblCellMar>
          <w:top w:w="28" w:type="dxa"/>
          <w:left w:w="28" w:type="dxa"/>
          <w:bottom w:w="28" w:type="dxa"/>
          <w:right w:w="28" w:type="dxa"/>
        </w:tblCellMar>
      </w:tblPr>
      <w:tblGrid>
        <w:gridCol w:w="1596"/>
        <w:gridCol w:w="1402"/>
        <w:gridCol w:w="1411"/>
        <w:gridCol w:w="109"/>
        <w:gridCol w:w="109"/>
        <w:gridCol w:w="109"/>
        <w:gridCol w:w="513"/>
        <w:gridCol w:w="2008"/>
        <w:gridCol w:w="374"/>
      </w:tblGrid>
      <w:tr>
        <w:trPr/>
        <w:tc>
          <w:tcPr>
            <w:tcW w:w="15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72,955 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Additions for tax positions related to prior years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23,798 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112,468 </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approximately $17,000 of IRC Section 280E refunds received during the six months ended June 30, 2024.</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total of $11,918 of interest and penalties is accrued for the uncertain tax positions as of June 30, 2024, which includes $6,494 related to the current year and $5,424 for prior years. If favorably resolved, the unrecognized tax benefits would decrease the Company’s effective tax rate.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significant future annual commitments, other than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through which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of which none has been funded to date. This additional $10,000 is included within “Other non-current liabilities” on the unaudited Condensed Consolidated Balance Sheets at June 30, 2024 and December 31, 2023.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and Other Matters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June 30, 2024 in all material respects, cannabis regulations continue to evolve and are subject to differing interpretations, and accordingly, the Company may be subject to regulatory fines, penalties, or restrictions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June 30, 2024 there were no pending or threatened lawsuits that could reasonably be expected to have a material effect on our consolidated results of operations, other than as disclosed below.</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 2024, the Court issued a Decision and Order denying MedMen’s motion for leave to file its third amended counterclaims.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appointed April 25, 2024 as the deadline for MedMen to obtain new counsel, which, as of the date of filing of this Form 10-Q, had not occurred.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a receiver for MM CAN USA, Inc. The receiver has submitted two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following the Company’s decision to no longer consummate the contemplated transactions, the Company established an estimated reserve of $3,700 related to the amounts that it has been actively pursuing collecting. The estimated reserve as of December 31, 2023 is included within “Other current assets” on the unaudited Condensed Consolidated Balance Sheet. During the three and six months ended June 30, 2024, the Company increased the estimated reserve by $2,744 and $5,447, respectively, which is included within “General and administrative expenses” on the unaudited Condensed Consolidated Statements of Operations and within “Other” on the unaudited Condensed Consolidated Statements of Cash Flows. The total reserve as of June 30, 2024 is reflective of all outstanding balances and of which $2,422 is included within “Notes receivable” on the unaudited Condensed Consolidated Balance Sheet, $6,695 is included within “Other current assets,” and the remainder is included within “Other noncurrent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Matter</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In February 2024, the TVP Parties notified the Company that they were exercising the Put Option and the transfer was completed in May 2024, at which time the Escrow Units were released to the TVP Parties and the TVP Parties transferred to the Company the equity interests of the entities that hold three real estate properties. The underlying properties were determined to have a total fair value of $5,400 as of the settlement date, which was included within “Other noncurrent assets” on the unaudited Condensed Consolidated Balance Sheet as of December 31, 2023 and was reclassified to “Property and equipment, net” as of the transfer date. Prior to the completion of the transfer, the Company operated dispensaries at these locations pursuant to lease agreements, which operations will continue at the now-owned properties.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related party transactions during the six months ended June 30, 2024, other than as disclosed in Note 6, “Notes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17. SUPPLEMENTAL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other current assets:</w:t>
      </w:r>
    </w:p>
    <w:tbl>
      <w:tblPr>
        <w:tblW w:w="6056" w:type="dxa"/>
        <w:jc w:val="left"/>
        <w:tblInd w:w="0" w:type="dxa"/>
        <w:tblLayout w:type="fixed"/>
        <w:tblCellMar>
          <w:top w:w="28" w:type="dxa"/>
          <w:left w:w="28" w:type="dxa"/>
          <w:bottom w:w="28" w:type="dxa"/>
          <w:right w:w="28" w:type="dxa"/>
        </w:tblCellMar>
      </w:tblPr>
      <w:tblGrid>
        <w:gridCol w:w="972"/>
        <w:gridCol w:w="855"/>
        <w:gridCol w:w="858"/>
        <w:gridCol w:w="258"/>
        <w:gridCol w:w="883"/>
        <w:gridCol w:w="133"/>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receivables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deposits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accounts payable and accrued liabilities:</w:t>
      </w:r>
    </w:p>
    <w:tbl>
      <w:tblPr>
        <w:tblW w:w="6520" w:type="dxa"/>
        <w:jc w:val="left"/>
        <w:tblInd w:w="0" w:type="dxa"/>
        <w:tblLayout w:type="fixed"/>
        <w:tblCellMar>
          <w:top w:w="28" w:type="dxa"/>
          <w:left w:w="28" w:type="dxa"/>
          <w:bottom w:w="28" w:type="dxa"/>
          <w:right w:w="28" w:type="dxa"/>
        </w:tblCellMar>
      </w:tblPr>
      <w:tblGrid>
        <w:gridCol w:w="1141"/>
        <w:gridCol w:w="1002"/>
        <w:gridCol w:w="1006"/>
        <w:gridCol w:w="258"/>
        <w:gridCol w:w="883"/>
        <w:gridCol w:w="133"/>
        <w:gridCol w:w="109"/>
        <w:gridCol w:w="109"/>
        <w:gridCol w:w="109"/>
        <w:gridCol w:w="344"/>
        <w:gridCol w:w="1175"/>
        <w:gridCol w:w="251"/>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purchases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general and administrative expenses:</w:t>
      </w:r>
    </w:p>
    <w:tbl>
      <w:tblPr>
        <w:tblW w:w="7784" w:type="dxa"/>
        <w:jc w:val="left"/>
        <w:tblInd w:w="0" w:type="dxa"/>
        <w:tblLayout w:type="fixed"/>
        <w:tblCellMar>
          <w:top w:w="28" w:type="dxa"/>
          <w:left w:w="28" w:type="dxa"/>
          <w:bottom w:w="28" w:type="dxa"/>
          <w:right w:w="28" w:type="dxa"/>
        </w:tblCellMar>
      </w:tblPr>
      <w:tblGrid>
        <w:gridCol w:w="938"/>
        <w:gridCol w:w="824"/>
        <w:gridCol w:w="8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utilities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2024 Notes Offering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16, 2024, the Company issued $235,000 aggregate principal amount of senior secured notes due July 16, 2029 (the “Term Notes”) through a private placement (the “2024 Notes Offering”) pursuant to an indenture agreement (the “July 2024 Loan Agreement”). The Term Notes were issued at 94.75% of face value and do not require scheduled principal amortization payments. The Term Notes bear interest at a rate of 12.75% per annum, payable semi-annually in arrears on January 15 and July 15 of each year until the maturity date, commencing on January 15, 2025, unless earlier prepaid in accordance with the terms of the July 2024 Loan Agreement. The total of the original issue discount and other direct financing fees was approximately $22,700, which is expected to be amortized over the associated term. The Company utilized the proceeds from the 2024 Notes Offering, along with cash on hand, to prepay $215,000 of borrowings outstanding under the 2021 Credit Facility, and incurred approximately $6,110 of prepayment fees and accrued and unpaid interest on the prepayment. The remaining $60,000 of borrowings outstanding under the 2021 Credit Facility will remain outstanding based on the original terms of the 2021 Credit Agreement.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Notes are irrevocably and unconditionally guaranteed, jointly and severally, on a senior secured basis by certain of the Company’s subsidiaries (the “Guarantees”). The Term Notes and the Guarantees are (i) secured, on a first lien basis, by substantially all assets of the Company and the guarantors of the Term Notes, subject to certain carveouts, and (ii) 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any time and from time to time upon not less than 15 nor more than 60 days’ prior notice, prepay the Term Notes, along with accrued and unpaid interest, subject to a prepayment premium equal to: zero between issuance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Term Notes to repay all or any part of such holders’ Term Notes at a price in cash equal to not less than 101% of the aggregate principal amount of such Term Notes repaid, plus accrued and unpaid interest thereon.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Term Notes to declare the principal of, and interest or premium, if any, and any other monetary obligations on, all the then-outstanding Term Notes to be due and payable immediately. The July 2024 Loan Agreement also requires the Company, on a consolidated basis, to maintain liquidity, consisting of cash and/or cash equivalents plus any future revolving credit availability, at all times in an aggregate amount of at least $20,000. The Company is required to comply with certain other financial covenants in contemplation of certain transactions or events, such as acquisitions and other financing activities, as defined within and provided for under the July 2024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 discussion and analysis, which we refer to as the “MD&amp;A,” of the financial condition and results of operations of Ascend Wellness Holdings, Inc. (the “Company,” “AWH,” or “Ascend”) is for the three and six months ended June 30, 2024 and 2023.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2023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sans-serif" w:hAnsi="Times New Roman;sans-serif"/>
          <w:b w:val="false"/>
          <w:i/>
          <w:color w:val="000000"/>
          <w:sz w:val="20"/>
        </w:rPr>
        <w:t>Forward-Looking Statements</w:t>
      </w:r>
      <w:r>
        <w:rPr>
          <w:color w:val="000000"/>
        </w:rPr>
        <w:t xml:space="preserve">” </w:t>
      </w:r>
      <w:r>
        <w:rPr>
          <w:rFonts w:ascii="Times New Roman;sans-serif" w:hAnsi="Times New Roman;sans-serif"/>
          <w:b w:val="false"/>
          <w:color w:val="000000"/>
          <w:sz w:val="20"/>
        </w:rPr>
        <w:t>for more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The Company’s shares of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under the symbol “AAWH.” We are an emerging growth company under federal securities laws and as such we are able to elect to follow scaled disclosure requirements for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Established in 2018 and headquartered in Morristown,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formation, we have expanded our operational footprint, primarily through acquisitions, and, as of June 30, 2024,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expansion of our current facilities, and increased consumer demand. We currently employ approximately 2,300 people.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consumer products portfolio is generated primarily from plant material that we grow and process ourselves. As of June 30, 2024, we produce our consumer packaged goods in seven manufacturing facilities with 255,000 square feet of total canopy. During the three and six months ended June 30, 2024, we sold approximately 47,000 and 93,000 pounds of wholesale product, on a gross basis, respectively, compared to 33,000 and 61,000 pounds during the three and six months ended June 30, 2023, respectively. In January 2024, we entered into a definitive agreement to acquire a cultivation license and a manufacturer license that we intend to use at a second cultivation site in Massachusetts to further expand our production capacity in that market. We added approximately 15,000 square feet of total additional canopy with this additional site, which build out was largely completed during the second quarter of 2024, and anticipate the transaction will close by the end of 2024. Our product portfolio consists of a range of cannabis product categories including flower, pre-rolls, concentrates, vapes, edibles, and other cannabis-related products. As of June 30, 2024, we have 38 open and operating retail locations, which includes 2 partner locations, and by the end of 2024 we expect to have 40 total retail locations, including 2 partner locations. Our new store opening plans are flexible and will ultimately depend on market conditions, local licensing, construction, and other regulatory permissions. We are also pursuing opportunities to partner with social equity license holders to expand our presence in various states. All of our expansion plans are subject to capital allocations decisions, the evolving regulatory environment, and the general 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Business Developments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meaningfully expand its presence across the markets in which it operates. Some of the highlights achieved during the quarter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opening a fourth dispensary in Pennsylvania and providing support to two partnership dispensaries in Illinois that are consolidated through our VIEs;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completing the build out of a second cultivation facility in Massachusetts and adding an additional 10,000 square feet of canopy to further expand production capacity in that market;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generating positive net cash from operating activities, as further described in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Recent and Pending Transactions</w:t>
      </w:r>
    </w:p>
    <w:p>
      <w:pPr>
        <w:pStyle w:val="TextBody"/>
        <w:bidi w:val="0"/>
        <w:spacing w:lineRule="auto" w:line="288" w:before="0" w:after="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Massachusetts Cultivation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 entered into a definitive agreement (the “Massachusetts Purchase Agreement”) to purchase a cultivation and manufacturer license from a third party in Massachusetts for a cash purchase price of $2,750, of which $1,500 was paid at signing, and which total may be adjusted at closing as provided in the Massachusetts Purchase Agreement. The transfer of each license is subject to regulatory review and approval, which the Company expects may occur within twelve months following the signing date. The licenses were not associated with active operations at signing, but operations have since commenced. In conjunction with the Massachusetts Purchase Agreement, the parties also entered into a bridge loan which provides for the financing of certain covered expenses, at the sole discretion of the Company. This bridge loan bears interest based on the federal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remaining $1,250 of the cash consideration is due on October 1, 2024 and is included as a sellers’ note within “Current portion of debt, net” on the unaudited Condensed Consolidated Balance Sheet in the Financial Statements as of June 30, 2024. The Company has agreed to assume the lease for the associated location and to reimburse the seller for the security deposit at final closing. The Company recognized a lease liability and right-of-use (“ROU”) asset of $761 as of the signing date. Refer to Note 4, “Acquisitions,” in the Financial Statements for additional information related to this transaction and to Note 10, “Leases,” for additional information regarding the Company’s leases.</w:t>
      </w:r>
    </w:p>
    <w:p>
      <w:pPr>
        <w:pStyle w:val="TextBody"/>
        <w:bidi w:val="0"/>
        <w:spacing w:lineRule="auto" w:line="288" w:before="0" w:after="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Ohio Patient Access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remains subject to regulatory review and approval. Once regulatory approval is received, the Company may exercise the option, and the exercise is solely within the Company’s control. The Company anticipates exercising the option prior to the March 22, 2026 amended expiration date. Under the Ohio Agreement, the Company will also acquire the real property of the three dispensary locations. OPA had not yet commenced operations as of the signing date, but subsequently opened two dispensaries in December 2023 and a third in January 2024. The Company determined OPA is a variable interest entity (“VIE”) and the Company became the primary beneficiary as of the signing date; therefore, OPA is consolidated as a VIE. Refer to Note 8, “Variable Interest Entities,” in the Financial Statements for additional information regarding the Company’s VIEs and refer to Note 4, “Acquisitions,” in the Financial Statements for additional information related to this transaction.</w:t>
      </w:r>
    </w:p>
    <w:p>
      <w:pPr>
        <w:pStyle w:val="TextBody"/>
        <w:bidi w:val="0"/>
        <w:spacing w:lineRule="auto" w:line="288" w:before="0" w:after="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Illinois Licenses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definitive agreements to acquire two additional licenses in Illinois for combined total cash consideration of $11,100. Operations at one of the locations commenced during the second quarter of 2023 and the final closing occurred in April 2024. Operations at the second location commenced during the fourth quarter of 2023 and final closing occurred in July 2024. Refer to Note 4, “Acquisitions,” in the Financial Statements for additional information related to these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Variable Interest Entities</w:t>
      </w:r>
    </w:p>
    <w:p>
      <w:pPr>
        <w:pStyle w:val="TextBody"/>
        <w:bidi w:val="0"/>
        <w:spacing w:lineRule="auto" w:line="288" w:before="0" w:after="180"/>
        <w:ind w:left="0" w:right="0" w:firstLine="7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January 2024 Loan Agreement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2024, the Company entered into a loan agreement pursuant to which the Company may provide, at its sole discretion, up to $2,500 of financing to a third party (the “January 2024 Loan Agreement”). The January 2024 Loan Agreement contains certain provisions and restrictive covenants that provide the Company with operational and financial influence over the underlying entity and also provides the Company with financial distributions based on the underlying associated results of operations. Additionally,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The Company determined that the terms and provisions of the January 2024 Loan Agreement create a variable interest in the third-party entity and met the criteria for consolidation as a VIE as of such date. The third-party entity received a conditional license approval for one dispensary in New Jersey that was determined to have a fair value of $1,050, which approximated the fair value of the non-controlling interest held by the third-party as of the effective date. The net loss attributable to the non-controlling interest was not significant during the three and six months ended June 30, 2024. Since the entity is consolidated as a VIE, the intercompany activity related to the January 2024 Loan Agreement is eliminated in consolidation. Refer to Note 8, “Variable Interest Entities,” in the Financial Statements for additional information regarding this transaction and the Company’s variable interest entities. </w:t>
      </w:r>
    </w:p>
    <w:p>
      <w:pPr>
        <w:pStyle w:val="TextBody"/>
        <w:bidi w:val="0"/>
        <w:spacing w:lineRule="auto" w:line="288" w:before="0" w:after="180"/>
        <w:ind w:left="0" w:right="0" w:firstLine="7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February 2024 Loan Agreement</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In February 2024, the Company entered into a loan agreement pursuant to which the Company may provide financing to a third party at its sole discretion (the “February 2024 Loan Agreement”). The February 2024 Loan Agreement initially provided for up to $3,750 of financing, but was amended in July 2024 to increase the funding amount based on the Company’s sole discretion at such a time that the borrower requests additional funding. The parties also entered into a support services agreement under which the Company will provide management and advisory services for a set monthly fee. The terms of the February 2024 Loan Agreement contain certain provisions and restrictive covenants that provide the Company with operational and financial influence over the underlying entity. The February 2024 Loan Agreement provides the Company with the option to convert the outstanding balance into equity interests of the borrower, up to 100%, as may be permissible by applicable regulations at such time. The Company determined that the terms and provisions of the February 2024 Loan Agreement and support services agreement create a variable interest in the third-party entity and met the criteria for consolidation as a VIE as of such date. The entity held no assets at the time the agreements were entered into and the non-controlling interest was determined to have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fair value as of that date. Since the entity is consolidated as a VIE, the intercompany activity related to the February 2024 Loan Agreement and the related support services agreement is eliminated in consolidation.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 April 2024, this third party acquired two dispensaries in the greater Chicago, Illinois area (the “Chicago Partner Dispensaries”). The parties entered into interim management services agreements (“MSAs”) pursuant to which the consolidated VIE will advise on certain business, operational, and financial matters for a monthly fee while the parties finalize asset purchase agreements to acquire the underlying dispensaries (the “Illinois MSAs”). The total purchase price of approximately $10,000 of cash consideration is subject to certain closing adjustments. An initial deposit of $1,500 was remitted during the three months ended March 31, 2024 and the remainder of $8,500 was remitted to escrow during the three months ended June 30, 2024. The asset purchase agreements in respect of the Chicago Partner Dispensaries are subject to regulatory review and approval. Based on the provisions of the Illinois MSAs, the third party obtained operational and financial influence over the dispensaries and therefore recognized the transaction as a business combination as of the April 2024 regulatory approval date of the Illinois MSAs. The net revenue and net loss related to the Chicago Partner Dispensaries that are included in our consolidated results of operations was not material for the three and six months ended June 30, 2024. Refer to Note 4, “Acquisitions,” in the Financial Statements for additional information related to this transaction and Note 8, “Variable Interest Entities,” for additional information regarding the Company’s VIEs.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Operational and Regulation Overview</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Key Financial Highlights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Revenue increased by $18,548, or 15%, during the three months ended June 30, 2024, as compared to the three months ended June 30, 2023, primarily driven by incremental revenue from acquisitions and expansion of our cultivation activities.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Operating loss decreased by $6,463 during the three months ended June 30, 2024, as compared to the three months ended Q2 2023, primarily driven by a contribution from higher gross margin due to expansion in certain markets and improved overhead utilization.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Net increase in cash and cash equivalents of $11,205 during the six months ended June 30, 2024, primarily driven by a benefit from the timing and amount of tax payments, including certain tax refunds received, as well as the timing of timing of payments related to working capital activities and the collection of a note receivable, all partially offset by payments associated with acquisitions and investments in capital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Three Months Ended June 30, 2024 Compared with the Three Months Ended June 30, 2023</w:t>
      </w:r>
    </w:p>
    <w:tbl>
      <w:tblPr>
        <w:tblW w:w="8835"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219"/>
        <w:gridCol w:w="219"/>
        <w:gridCol w:w="31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(21,784)</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(22,625)</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 meaningful</w:t>
      </w:r>
    </w:p>
    <w:p>
      <w:pPr>
        <w:pStyle w:val="TextBody"/>
        <w:bidi w:val="0"/>
        <w:spacing w:lineRule="auto" w:line="288" w:before="6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$18,548, or 15%, during the three months ended June 30, 2024, as compared to the three months ended June 30, 2023. Our revenue growth was primarily driven by $15,324 of incremental net revenue from our wholesale operations, in large part as a result of expansion across the markets in which we operate, particularly in New Jersey and Massachusetts. During the three months ended June 30, 2024, we sold approximately 47,000 pounds of wholesale product, on a gross basis, compared to 33,000 pounds during the three months ended June 30, 2023. Additionally, we recognized $14,070 of incremental revenue from acquisitions, which includes $8,008 from the Devi Maryland acquisition that occurred during the second quarter of 2023 and a benefit from store openings in 2024 and late 2023 associated with previously acquired licenses. These increases were partially offset by a decrease of $10,846 across our legacy locations, primarily in Illinois and New Jersey due to increased competition in those markets.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increased by $5,294, or 6%, during the three months ended June 30, 2024, as compared to the three months ended June 30, 2023. Cost of goods sold represents direct and indirect expenses attributable to the production of wholesale products as well as direct expenses incurred in purchasing products from other wholesalers. Gross profit for the three months ended June 30, 2024 was $41,573, representing a gross margin of 29.4%, compared to gross profit of $28,319 and gross margin of 23.0% for the three months ended June 30, 2023. Gross margin for the current quarter benefited from improved utilization at our Massachusetts and New Jersey cultivation facilities and expansion in those markets. The current period also benefited from $6,172 of lower write-downs of certain inventory items that were largely driven by pricing pressure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$6,791, or 19%, during the three months ended June 30, 2024, as compared to the three months ended June 30, 2023. The increase was primarily driven by: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$2,744 increase in an estimated reserve related to certain amounts associated with a previous transaction (refer to “</w:t>
      </w:r>
      <w:r>
        <w:rPr>
          <w:rFonts w:ascii="Times New Roman;sans-serif" w:hAnsi="Times New Roman;sans-serif"/>
          <w:b w:val="false"/>
          <w:i/>
          <w:color w:val="000000"/>
          <w:sz w:val="20"/>
        </w:rPr>
        <w:t>Management’s Discussion and Analysis of Financial Condition and Results of Operations–Legal Matters–MedMen NY Litigation</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$2,427 increase in total compensation expense, including $981 of higher equity-based compensation expense, due to higher average headcount associated with the expansion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$1,536 increase in depreciation and amortization expense due to $935 of incremental amortization of licenses from prior year acquisitions and $601 of incremental depreciation expense associated with a larger average balance of fixed assets in service;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$1,229 of higher professional services fees associated with certain projects and strategic initiatives;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 $882 increase in overhead expenses due to expansion of operations.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 the absence of a $1,804 estimated reserve for a note receivable recognized during the prior year period.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$1,946, or 19%, during the three months ended June 30, 2024, as compared to the three months ended June 30, 2023, primarily driven by lower non-cash interest accretion due to a lower average balance outstanding under a financing agreement. During the three months ended June 30, 2024, the Company had a weighted-average outstanding debt balance of $312,923 with a weighted-average interest rate of 9.5%, excluding finance leases, compared to a weighted-average debt balance of $326,528 during the three months ended June 30, 2023 with a weighted-average interest rate of 9.8%.</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net decreased by $23,665 during the three months ended June 30, 2024, as compared to the three months ended June 30, 2023, primarily driven by the absence of a $22,794 employee retention tax credit claim (the “ERTC Claim”) recognized during the prior year period.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internal revenue services has taken the position that cannabis companies are subject to the limitations of Internal Revenue Code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As of June 30, 2024, the Company recorded an uncertain tax liability totaling $112,468 for uncertain tax positions related to the treatment of certain transactions and deductions under IRC Section 280E based on legal interpretations that challenge the Company’s tax liability under IRC Section 280E. Refer to Note 14, “Income Taxes,” in the Financial Statements for additional information regarding the Company’s income taxes.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statutory federal tax rate was 21% during both periods. During the three months ended June 30, 2024 the Company had operations in seven U.S. geographic markets: Illinois, Maryland, Massachusetts, Michigan, New Jersey, Ohio, and Pennsylvania, which have state tax rates ranging from 6% to 11.5%. Certain states, including Illinois, Maryland, Michigan, and New Jersey,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$12,106, or 29.1%, of gross profit, during the three months ended June 30, 2024, as compared to $4,737, or 16.7%, of gross profit, during the three months ended June 30, 2023. The effective tax rate on gross profit for the three months ended June 30, 2024 was impacted by higher penalties and interest due on tax payments and uncertain tax positions and the tax treatment of certain accounting reserves, partially offset by a benefit from an incremental impact attributable to the tax treatment of certain acquired intangible assets. The effective tax rate during the three months ended June 30, 2023 reflects an incremental benefit from a change in state tax legislation in Illinois and New Jersey that became effective during that quarter and which thereby reduced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Six Months Ended June 30, 2024 Compared with the Six Months Ended June 30, 2023</w:t>
      </w:r>
    </w:p>
    <w:tbl>
      <w:tblPr>
        <w:tblW w:w="8809"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84"/>
        <w:gridCol w:w="972"/>
        <w:gridCol w:w="147"/>
        <w:gridCol w:w="219"/>
        <w:gridCol w:w="219"/>
        <w:gridCol w:w="311"/>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237,164 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(39,947)</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$46,782, or 20%, during the six months ended June 30, 2024, as compared to the six months ended June 30, 2023. Our revenue growth was primarily driven by $31,098 of incremental net revenue from our wholesale operations, in large part as a result of expansion across the markets in which we operate, particularly in New Jersey and Massachusetts. During the six months ended June 30, 2024, we sold approximately 93,000 pounds of wholesale product, on a gross basis, compared to 61,000 pounds during the six months ended June 30, 2023. Additionally, we recognized $30,598 of incremental revenue from acquisitions, which includes $17,412 from the Devi Maryland acquisition that occurred during the second quarter of 2023 and a benefit from store openings in 2024 and late 2023 associated with previously acquired licenses. These increases were partially offset by a decrease of $14,914 across our legacy locations, primarily in Illinois and New Jersey due to increased competition in those markets.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increased by $17,195, or 10%, during the six months ended June 30, 2024, as compared to the six months ended June 30, 2023. Cost of goods sold represents direct and indirect expenses attributable to the production of wholesale products as well as direct expenses incurred in purchasing products from other wholesalers. Gross profit for the six months ended June 30, 2024 was $93,610, representing a gross margin of 33.0%, compared to gross profit of $64,023 and gross margin of 27.0% for the six months ended June 30, 2023. Gross margin for the current period benefited from improved utilization at our Massachusetts and New Jersey cultivation facilities and expansion in those markets. The current period also benefited from $9,640 of lower write-downs of certain inventory items that were largely driven by pricing pressure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$20,804, or 29%, during the six months ended June 30, 2024, as compared to the six months ended June 30, 2023. The increase was primarily related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$9,638 increase in total compensation expense, including $4,495 of higher equity-based compensation expense, due to higher average headcount associated with the expansion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$5,447 increase in an estimated reserve related to certain amounts associated with a previous transaction (refer to “</w:t>
      </w:r>
      <w:r>
        <w:rPr>
          <w:rFonts w:ascii="Times New Roman;sans-serif" w:hAnsi="Times New Roman;sans-serif"/>
          <w:b w:val="false"/>
          <w:i/>
          <w:color w:val="000000"/>
          <w:sz w:val="20"/>
        </w:rPr>
        <w:t>Management’s Discussion and Analysis of Financial Condition and Results of Operations–Legal Matters–MedMen NY Litigation</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$2,862 increase in depreciation and amortization expense due to $1,655 of incremental amortization of licenses driven by prior year acquisitions and $1,207 of incremental depreciation expense due to a larger average balance of fixed assets in service;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$1,639 increase in overhead expenses due to expansion of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$1,627 of higher professional services fees associated with certain projects and strategic initiatives;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$984 recognized as a discount on a long-term receivable.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 the absence of a $1,804 estimated reserve for a note receivable recognized during the prior year period.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$2,383, or 12%, during the six months ended June 30, 2024, as compared to the six months ended June 30, 2023, primarily driven by lower non-cash interest accretion due to a lower average balance outstanding under a financing agreement. During the six months ended June 30, 2024, the Company had a weighted-average outstanding debt balance of $314,149 with a weighted-average interest rate of 9.5%, excluding finance leases, compared to a weighted-average debt balance of $330,816 during the six months ended June 30, 2023 with a weighted-average interest rate of 9.8%.</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decreased by $23,620 during the six months ended June 30, 2024, as compared to the six months ended June 30, 2023, primarily driven by the absence of a $22,794 ERTC Claim recognized during the prior year period.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$24,616, or 26.3%, of gross profit, during the six months ended June 30, 2024, as compared to $14,754, or 23.0%, of gross profit, during the six months ended June 30, 2023. The effective tax rate on gross profit for the six months ended June 30, 2024 was impacted by higher penalties and interest due on tax payments and uncertain tax positions and the tax treatment of certain accounting reserves, which was partially offset by a benefit from an incremental impact attributable to the tax treatment of certain acquired intangible assets and an incremental benefit from a change in state tax legislation in Illinois and New Jersey that became effective during the second quarter of 2023 and which thereby reduced taxable income. Refer to Note 14, “Income Taxes,” in the Financial Statements for additional information regarding the Company’s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Gross Profit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582"/>
        <w:gridCol w:w="1375"/>
        <w:gridCol w:w="1364"/>
        <w:gridCol w:w="211"/>
        <w:gridCol w:w="721"/>
        <w:gridCol w:w="256"/>
        <w:gridCol w:w="109"/>
        <w:gridCol w:w="109"/>
        <w:gridCol w:w="109"/>
        <w:gridCol w:w="211"/>
        <w:gridCol w:w="721"/>
        <w:gridCol w:w="256"/>
        <w:gridCol w:w="109"/>
        <w:gridCol w:w="109"/>
        <w:gridCol w:w="109"/>
        <w:gridCol w:w="211"/>
        <w:gridCol w:w="826"/>
        <w:gridCol w:w="256"/>
        <w:gridCol w:w="109"/>
        <w:gridCol w:w="109"/>
        <w:gridCol w:w="109"/>
        <w:gridCol w:w="211"/>
        <w:gridCol w:w="721"/>
        <w:gridCol w:w="302"/>
      </w:tblGrid>
      <w:tr>
        <w:trPr/>
        <w:tc>
          <w:tcPr>
            <w:tcW w:w="158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64,023 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14,830 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Start-up costs included in cost of goods sold</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115,398 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36.5 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40.6 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39.0 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Incremental expenses associated with the expansion of activities at our cultivation facilities that are not yet operating at scale, including excess overhead expenses resulting from delays in regulatory approvals at certain cultivation facilities.</w:t>
      </w:r>
      <w:r>
        <w:rPr>
          <w:color w:val="000000"/>
        </w:rPr>
        <w:t xml:space="preserve">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Consists of write-offs of expired products, obsolete packaging, and net realizable value adjustments related to certain inventory items.</w:t>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EBITDA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580"/>
        <w:gridCol w:w="1320"/>
        <w:gridCol w:w="1323"/>
        <w:gridCol w:w="211"/>
        <w:gridCol w:w="788"/>
        <w:gridCol w:w="256"/>
        <w:gridCol w:w="109"/>
        <w:gridCol w:w="109"/>
        <w:gridCol w:w="109"/>
        <w:gridCol w:w="211"/>
        <w:gridCol w:w="721"/>
        <w:gridCol w:w="256"/>
        <w:gridCol w:w="109"/>
        <w:gridCol w:w="109"/>
        <w:gridCol w:w="109"/>
        <w:gridCol w:w="211"/>
        <w:gridCol w:w="788"/>
        <w:gridCol w:w="256"/>
        <w:gridCol w:w="109"/>
        <w:gridCol w:w="109"/>
        <w:gridCol w:w="109"/>
        <w:gridCol w:w="211"/>
        <w:gridCol w:w="788"/>
        <w:gridCol w:w="304"/>
      </w:tblGrid>
      <w:tr>
        <w:trPr/>
        <w:tc>
          <w:tcPr>
            <w:tcW w:w="15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(24,309)</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Start-up costs</w:t>
            </w:r>
            <w:r>
              <w:rPr>
                <w:rFonts w:ascii="Times New Roman;sans-serif" w:hAnsi="Times New Roman;sans-serif"/>
                <w:b w:val="false"/>
                <w:color w:val="000000"/>
                <w:sz w:val="13"/>
              </w:rPr>
              <w:t>(2)</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Transaction-related and other non-recurring expenses</w:t>
            </w:r>
            <w:r>
              <w:rPr>
                <w:rFonts w:ascii="Times New Roman;sans-serif" w:hAnsi="Times New Roman;sans-serif"/>
                <w:b w:val="false"/>
                <w:color w:val="000000"/>
                <w:sz w:val="13"/>
              </w:rPr>
              <w:t>(3)</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sale of assets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44,632 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w:t>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17.3 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18.8 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Also includes other one-time or non-recurring expenses, as applicable.</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Legal and professional fees associated with litigation matters, potential acquisitions, other regulatory matters, and other non-recurring expenses. The three and six months ended June 30, 2024 include a fair value adjustment related to an acquisition earn-out of $490 and $630, respectively, and the three and six months ended June 30, 2023 include $497 and $988, respectively. The three and six months ended June 30, 2024 also include a reserve of $2,744 and $5,447, respectively, related to certain amounts associated with a previous transaction. Additionally, the six months ended June 30, 2024 includes $984 recognized as a discount on a noncurrent receivable. The three and six months ended June 30, 2023 include a $1,804 reserve recorded on a note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Financing History and Future Capital Requirements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 Additionally, during the second quarter of 2023, we raised an aggregate of $7,000 in gross proceeds through a non-brokered private placement offering of an aggregate of 9,859 shares of the Company’s Class A common stock to a single investor. Most recently, in July 2024 we issued term notes with aggregate principal of $235,000, which proceeds were used, together with cash on hand, to prepay a portion of our other term loans then-outstanding, as discussed further below.</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we had total current liabilities of $103,056 and $92,686, respectively, and total current assets of $236,264 and $228,860, respectively, which includes cash and cash equivalents of $83,713 and $72,508, respectively, to meet our current obligations. As of June 30, 2024, we had working capital of $133,208, compared to $136,174 as of December 31, 2023.</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92% and 90% of our cash and cash equivalents balance as of June 30, 2024 and December 31, 2023, respectively, is on deposit with banks, credit unions, or other financial institutions. We have not experienced any material impacts related to banking restrictions applicable to cannabis businesses. Our cash and cash equivalents balance is not restricted for use by VIEs.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we had an accumulated deficit as of June 30, 2024 and December 31, 2023, as well as a net loss for the six months ended June 30, 2024 and 2023,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outstanding as of June 30, 2024. The 2021 Credit Facility matures on August 27, 2025 and does not require scheduled principal amortization payments. Borrowings under the 2021 Credit Facility bear interest at a rate of 9.5% per annum, payable quarterly. The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at their discretion.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June 30, 2024. </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 In June 2024, the 2021 Credit Agreement was amended to, among other things, permit the Company to issue new senior secured notes. In July 2024, the Company issued new senior secured notes, the proceeds of which issuance were, in part, utilized to pre-pay a portion of the amounts outstanding under the 2021 Credit Facility, as further discussed under the sub-heading “</w:t>
      </w:r>
      <w:r>
        <w:rPr>
          <w:rFonts w:ascii="Times New Roman;sans-serif" w:hAnsi="Times New Roman;sans-serif"/>
          <w:b w:val="false"/>
          <w:i/>
          <w:color w:val="000000"/>
          <w:sz w:val="20"/>
        </w:rPr>
        <w:t>2024 Notes Offering,”</w:t>
      </w:r>
      <w:r>
        <w:rPr>
          <w:color w:val="000000"/>
        </w:rPr>
        <w:t xml:space="preserve"> </w:t>
      </w:r>
      <w:r>
        <w:rPr>
          <w:rFonts w:ascii="Times New Roman;sans-serif" w:hAnsi="Times New Roman;sans-serif"/>
          <w:b w:val="false"/>
          <w:color w:val="000000"/>
          <w:sz w:val="20"/>
        </w:rPr>
        <w:t>below.</w:t>
      </w:r>
      <w:r>
        <w:rPr>
          <w:color w:val="000000"/>
        </w:rPr>
        <w:t xml:space="preserv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11, “Debt,” in the Financial Statements for additional information regarding the Company’s debt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2024 Notes Offering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16, 2024, the Company issued $235,000 aggregate principal amount of senior secured notes due July 16, 2029 (the “Term Notes”) through a private placement (the “2024 Notes Offering”) pursuant to an indenture agreement (the “July 2024 Loan Agreement”). The Term Notes were issued at 94.75% of face value and do not require scheduled principal amortization payments. The Term Notes bear interest at a rate of 12.75% per annum, payable semi-annually in arrears on January 15 and July 15 of each year until the maturity date, commencing on January 15, 2025, unless earlier prepaid in accordance with the terms of the July 2024 Loan Agreement. The total of the original issue discount and other direct financing fees was approximately $22,700, which is expected to be amortized over the associated term. The Company utilized the proceeds from the 2024 Notes Offering, along with cash on hand, to prepay $215,000 of borrowings outstanding under the 2021 Credit Facility, and incurred approximately $6,110 of prepayment fees and accrued and unpaid interest on the prepayment. The remaining $60,000 of borrowings outstanding under the 2021 Credit Facility will remain outstanding based on the original terms of the 2021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Term Notes are irrevocably and unconditionally guaranteed, jointly and severally, on a senior secured basis by certain of the Company’s subsidiaries (the “Guarantees”). The Term Notes and the Guarantees are (i) secured, on a first lien basis, by substantially all assets of the Company and the guarantors of the Term Notes, subject to certain carveouts, and (ii) 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at any time and from time to time upon not less than 15 nor more than 60 days’ prior notice, prepay the Term Notes, along with accrued and unpaid interest, subject to a prepayment premium equal to: zero between issuance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Term Notes to repay all or any part of such holders’ Term Notes at a price in cash equal to not less than 101% of the aggregate principal amount of such Term Notes repaid, plus accrued and unpaid interest thereon.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Term Notes to declare the principal of, and interest or premium, if any, and any other monetary obligations on, all the then-outstanding Term Notes to be due and payable immediately. The July 2024 Loan Agreement also requires the Company, on a consolidated basis, to maintain liquidity, consisting of cash and/or cash equivalents plus any future revolving credit availability, at all times in an aggregate amount of at least $20,000. The Company is required to comply with certain other financial covenants in contemplation of certain transactions or events, such as acquisitions and other financing activities, as defined within and provided for under the July 2024 Loan Agreement.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Financing Agreement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received $19,364 pursuant to a financing agreement with a third-party lender (the “Financing Agreement”). The Company assigned to the lender its interests in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unaudited Condensed Consolidated Statements of Operations in the Financial Statements during the year ended December 31, 2023. A total of $1,964 of the ERTC Claim remains outstanding as of June 30, 2024 and December 31, 2023, which receivable is included in “Other current assets” on the unaudited Condensed Consolidated Balance Sheets, and the balance outstanding under the Financing Agreement is included in “Current portion of debt, net.” Refer to Note 11, “Debt,” in the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5919" w:type="dxa"/>
        <w:jc w:val="left"/>
        <w:tblInd w:w="0" w:type="dxa"/>
        <w:tblLayout w:type="fixed"/>
        <w:tblCellMar>
          <w:top w:w="28" w:type="dxa"/>
          <w:left w:w="28" w:type="dxa"/>
          <w:bottom w:w="28" w:type="dxa"/>
          <w:right w:w="28" w:type="dxa"/>
        </w:tblCellMar>
      </w:tblPr>
      <w:tblGrid>
        <w:gridCol w:w="1255"/>
        <w:gridCol w:w="1103"/>
        <w:gridCol w:w="1107"/>
        <w:gridCol w:w="211"/>
        <w:gridCol w:w="721"/>
        <w:gridCol w:w="109"/>
        <w:gridCol w:w="109"/>
        <w:gridCol w:w="109"/>
        <w:gridCol w:w="109"/>
        <w:gridCol w:w="211"/>
        <w:gridCol w:w="72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increased by $4,979 during the six months ended June 30, 2024, as compared to the six months ended June 30, 2023, primarily driven by the timing of payments to suppliers and vendors and other working capital payments. The six months ended June 30, 2024 includes income tax refunds totaling approximately $17,800. The six months ended June 30, 2023 includes the recognition of the $22,794 ERTC Claim, of which $17,520 was received during that period. </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$6,073 during the six months ended June 30, 2024, as compared to the six months ended June 30, 2023, primarily due to lower net investments in notes receivable and lower payments associated with acquisitions, partially offset by higher capital expenditures and the absence of proceeds from the sale of assets.</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by $6,253 during the six months ended June 30, 2024, as compared to the six months ended June 30, 2023, primarily due to lower repayments of debt partially offset by higher cash remittances of taxes withheld under equity-based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 and Contingencies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material future contractual obligations as of June 30, 2024:</w:t>
      </w:r>
    </w:p>
    <w:tbl>
      <w:tblPr>
        <w:tblW w:w="10112" w:type="dxa"/>
        <w:jc w:val="left"/>
        <w:tblInd w:w="0" w:type="dxa"/>
        <w:tblLayout w:type="fixed"/>
        <w:tblCellMar>
          <w:top w:w="28" w:type="dxa"/>
          <w:left w:w="28" w:type="dxa"/>
          <w:bottom w:w="28" w:type="dxa"/>
          <w:right w:w="28" w:type="dxa"/>
        </w:tblCellMar>
      </w:tblPr>
      <w:tblGrid>
        <w:gridCol w:w="787"/>
        <w:gridCol w:w="692"/>
        <w:gridCol w:w="696"/>
        <w:gridCol w:w="109"/>
        <w:gridCol w:w="109"/>
        <w:gridCol w:w="109"/>
        <w:gridCol w:w="211"/>
        <w:gridCol w:w="826"/>
        <w:gridCol w:w="109"/>
        <w:gridCol w:w="109"/>
        <w:gridCol w:w="109"/>
        <w:gridCol w:w="109"/>
        <w:gridCol w:w="349"/>
        <w:gridCol w:w="1193"/>
        <w:gridCol w:w="182"/>
        <w:gridCol w:w="109"/>
        <w:gridCol w:w="109"/>
        <w:gridCol w:w="109"/>
        <w:gridCol w:w="211"/>
        <w:gridCol w:w="826"/>
        <w:gridCol w:w="109"/>
        <w:gridCol w:w="109"/>
        <w:gridCol w:w="109"/>
        <w:gridCol w:w="109"/>
        <w:gridCol w:w="222"/>
        <w:gridCol w:w="759"/>
        <w:gridCol w:w="114"/>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Commitments Due by Period</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2025 - 2026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2027 - 2028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Finance arrangements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w:t>
      </w:r>
    </w:p>
    <w:p>
      <w:pPr>
        <w:pStyle w:val="TextBody"/>
        <w:bidi w:val="0"/>
        <w:spacing w:lineRule="auto" w:line="288" w:before="0" w:after="6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Reflects our contractual obligations to make future payments under non-cancelable operating leases that did not meet the criteria to qualify for sale leaseback treatment. Refer to Note 10, “Leases,” in the Financial Statements for additional information.</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Reflects our contractual obligations to make future payments under non-cancelable leases. Refer to Note 10, “Leases,” in the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In addition to the amounts included in the table above, as of June 30, 2024 total borrowings of $275,000 were outstanding under the 2021 Credit Facility, which matures on August 27, 2025 and which borrowings bear interest at a rate of 9.5% per annum, payable quarterly. In July 2024, the Company prepaid a total of $215,000 of these borrowings by utilizing proceeds received from the issuance of $235,000 of the Term Notes that were issued in July 2024. These Term Notes mature in July 2029 and bear interest at a rate of 12.75% per annum, payable semi-annually in arrears on January 15 and July 15 of each year until the maturity date, commencing on January 15, 2025; refer to the sub-heading “</w:t>
      </w:r>
      <w:r>
        <w:rPr>
          <w:rFonts w:ascii="Times New Roman;sans-serif" w:hAnsi="Times New Roman;sans-serif"/>
          <w:b w:val="false"/>
          <w:i/>
          <w:color w:val="000000"/>
          <w:sz w:val="20"/>
        </w:rPr>
        <w:t>2024 Notes Offering</w:t>
      </w:r>
      <w:r>
        <w:rPr>
          <w:rFonts w:ascii="Times New Roman;sans-serif" w:hAnsi="Times New Roman;sans-serif"/>
          <w:b w:val="false"/>
          <w:color w:val="000000"/>
          <w:sz w:val="20"/>
        </w:rPr>
        <w:t xml:space="preserve">,” above, for additional information. Principal and interest payments could fluctuate based on prepayments or additional amounts borrowed. Refer to Note 11, “Debt,” in the Financial Statements for additional information regarding the Company’s debt transactions.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excludes certain amounts related to recent and pending acquisitions, including the $7,300 earn-out payment related to the OPA acquisition that was paid in July 2024; refer to Note 4, “Acquisitions,” in the Financial Statements for additional information related to this transaction. The table above also excludes up to a total of $10,000 that we expect to fund under a research collaboration agreement associated with a prior acquisition. This funding will be based on a percentage of annual revenue through April 2031, unless satisfied earlier, and no related funding has occurred to date.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capital expenditures, net of tenant improvement allowances, of approximately $20,000 to $25,000 during the remainder of 2024.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remainder of 2024, we expect to complete the build out of one additional dispensary in Pennsylvania and fund certain expansion projects across our retail operations. We also anticipate completing certain projects across our cultivation facilities in addition to other enhancements and general maintenance activities across our portfolio. Management expects to fund capital expenditures primarily by utilizing cash flows from operations.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construction in progress (“CIP”) balance was $4,542 and relates to capital spending on projects that were not yet complete. This balance includes amounts related to certain expansion projects at our Massachusetts and New Jersey cultivation facilities and other projects across our dispensaries and cultivation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Equity Incentive Plans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June 30, 2024, there were 4,672 shares of Class A common stock available for grant for future awards under the Amended 2021 Plan.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 Company granted a total of 11,821 RSUs under the Amended 2021 Plan. As of June 30, 2024, a total of 35,650 RSUs have been granted under the Amended 2021 Plan, of which 12,850 are unvested. Total unrecognized compensation cost related to the RSUs was $14,161 as of June 30, 2024, which is expected to be recognized over a weighted-average remaining period of 3.1 years.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 total of 3,852 stock option awards are outstanding under the Amended 2021 Plan, of which 2,478 are exercisable. No options were granted or exercised during the six months ended June 30, 2024. The outstanding options have a remaining weighted-average contractual life of 3.1 years as of June 30, 2024 and total unrecognized stock-based compensation expense related to unvested options was $902, which is expected to be recognized over a weighted-average remaining period of 2.2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 total of 4,000 RSUs that were granted outside of the Amended 2021 Plan remain outstanding as of June 30, 2024. These RSUs were granted pursuant to an employment agreement and vest upon the later of the second anniversary of the related employment and the achievement of certain stock price targets, which were not met as of June 30, 2024. Refer to Note 13, “Equity-Based Compensation Expense,” in the Financial Statements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equity-based compensation expense was $5,284 and $4,457 during the three months ended June 30, 2024 and 2023, respectively, of which $3,179 and $2,198, respectively, was recognized within “General and administrative expenses” on the unaudited Condensed Consolidated Statements of Operations in the Financial Statements and of which $4,336 and $1,931, respectively, was recognized within “Cost of goods sold.” Total equity-based compensation expense was $16,000 and $9,012 during the six months ended June 30, 2024 and 2023, respectively, of which $9,648 and $5,153, respectively, was recognized within “General and administrative expenses” and of which $6,547 and $1,981, respectively, was recognized within “Cost of goods sold.”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adopted an employee stock purchase plan (the “2021 ESPP”), pursuant to which 4,000 shares of Class A common stock are reserved for issuance thereunder, subject to certain adjustments and other terms. As of June 30, 2024, no shares have been issued under the 2021 ESPP.</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13, “Equity-Based Compensation Expense,” in the Financial Statements for additional information regarding the Company’s equity awards and equity-based compensation expense.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Lease-Related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10, “Leases,” in the Financial Statements for information regarding the Company’s leases and lease-related transactions.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Loan Receivable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original maturity date of August 1, 2026, required monthly repayments equal to 10.0% of the outstanding balance (including paid-in-kind interest), and could be prepaid subject to a customary make-whole payment or prepayment penalty, as applicable. Mandatory prepayments were required from the proceeds of certain events. The Maryland Loan Agreement provided for a base interest rate of 12.0% plus LIBOR (LIBOR floor of 1.0%) and a paid-in-kind interest rate of 4.5%. Following the replacement of LIBOR, effective July 1, 2023, the LIBOR component of the interest rate transitioned to the secured overnight financing rate (“SOFR”) plus an alternative reference rate committee (“ARRC”) standard adjustment.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including non-payment, and provided an acceleration notice during the second quarter of 2023 that declared all amounts due and payable. As such, during the year ended December 31, 2023 the Company established a reserve of $1,804 for potential collectability.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Of this total receivable, $2,000 is included within “Other current assets” and $3,098 is included within “Other noncurrent assets” on the unaudited Condensed Consolidated Balance Sheet in the Financial Statements as of June 30, 2024. The initial discount of $984 on the noncurrent portion was calculated utilizing the Company’s estimated incremental borrowing rate as of the agreement date and will be accreted to interest income over the agreement term. This discount is included within “General and administrative expenses” on the unaudited Condensed Consolidated Statements of Operations in the Financial Statements for the six months ended June 30, 2024 and within “Other” on the unaudited Condensed Consolidated Statements of Cash Flows. A total of $500 of inventory was supplied under this agreement during the three months ended June 30, 2024. The total settlement value approximated the obligations outstanding under the Maryland Loan Receivable, including $2,859 of past due interest that was outstanding as of December 31, 2023 and was included within “Other current assets” on the unaudited Condensed Consolidated Balance Sheet as of that date.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6, “Notes Receivable,” in the Financial Statements for additional information regarding the Maryland Loan Receivable and the Company’s other notes receivable.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 xml:space="preserve">Following its investment, AWH would hold a controlling interest in MMNY equal to approximately 86.7% of the equity in MMNY, and be provided with an option to acquire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 2024, the Court issued a Decision and Order denying MedMen’s motion for leave to file its third amended counterclaims.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appointed April 25, 2024 as the deadline for MedMen to obtain new counsel, which, as of the date of filing of this Form 10-Q, had not occurred.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confirming the appointment a receiver for MM CAN USA, Inc. The receiver has submitted two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following the Company’s decision to no longer consummate the contemplated transactions, the Company established an estimated reserve of $3,700 related to the amounts that it has been actively pursuing collecting. The estimated reserve as of December 31, 2023 is included within “Other current assets” on the unaudited Condensed Consolidated Balance Sheet in the Financial Statements. During the three and six months ended June 30, 2024, the Company increased the estimated reserve by $2,744 and $5,447, respectively, which is included within “General and administrative expenses” on the unaudited Condensed Consolidated Statements of Operations and within “Other” on the unaudited Condensed Consolidated Statements of Cash Flows. The total reserve as of June 30, 2024 is reflective of all outstanding balances and of which $2,422 is included within “Notes receivable” on the unaudited Condensed Consolidated Balance Sheet, $6,695 is included within “Other current assets,” and the remainder is included within “Other noncurrent assets.”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Matter</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In February 2024, the TVP Parties notified the Company that they were exercising the Put Option and the transfer was completed in May 2024, at which time the Escrow Units were released to the TVP Parties and the TVP Parties transferred to the Company the equity interests of the entities that hold three real estate properties. The underlying properties were determined to have a total fair value of $5,400 as of the settlement date, which was included within “Other noncurrent assets” on the unaudited Condensed Consolidated Balance Sheet in the Financial Statements as of December 31, 2023 and was reclassified to “Property and equipment, net” as of the transfer date. Prior to the completion of the transfer, the Company operated dispensaries at these locations pursuant to lease agreements, which operations will continue at the now-owned properties.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except as disclosed in Note 2, “Basis of Presentation and Significant Accounting Policies,” in the Financial Statements.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Standards and Recently Issued Accounting Pronouncements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about recently issued accounting standards that have not yet been adopted, see Note 2, “Basis of Presentation and Significant Accounting Policies,” to the Financial Statements.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REGULATORY ENVIRONMENT: ISSUERS WITH UNITED STATES CANNABIS-RELATED ASSETS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2023.</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June 30, 2024 and December 31, 2023, as well as a net loss for the six months ended June 30, 2024 and 2023,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a.Disclosure Controls and Procedures.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 </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 discussion of our litigation matters occurring in the period covered by this report is found in </w:t>
      </w:r>
      <w:hyperlink w:anchor="i36ad06cc05d345208f3c2b0088a85e32_82">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 “Commitments and Contingencies,” to the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set forth below, as of the date of this filing, there have been no material changes in our risk factors from those disclosed in our Annual Report on Form 10-K for the year ended December 31, 2023, in response to Item 1A., “Risk Factors,” of Part I of the Annual Report.</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face risks related to U.S. tax provisions related to controlled substances.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Limits on U.S. deductibility of certain expenses may have a material adverse effect on our financial condition, results of operations and cash flows. Section 280E (“Section 280E”) of the Internal Revenue Code of 1986, as amended, prohibits businesses from deducting certain expenses associated with the trafficking of controlled substances (within the meaning of Schedule I and II of the Controlled Substances Act (21 U.S.C. § 811) (the “CSA”)). The Internal Revenue Service (“IRS”) has applied Section 280E broadly in tax audits against various cannabis businesses in the U.S. that are permitted under applicable state laws, seeking substantial sums in tax liabilities, interest, and penalties resulting from the underpayment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filed amended tax returns with the IRS on behalf of itself and its subsidiaries claiming refunds of tax for 2020 and 2021 and a refund and/or reduction of tax for 2022 which had been incurred as a result of the application of Section 280E based on a legal interpretation that Section 280E does not apply to solely intrastate cannabis-related business activities. The Company intends to continue to take this position for the 2023 filing year. There is no guarantee that the IRS will not challenge our refund request and prevail in such challenge.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We, therefore, analyze and consider the appropriateness of recording reserves for unrecognized tax benefits each quarter.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21, 2024, the United States Department of Justice published a notice of proposed rulemaking with the Federal Register to initiate a formal rulemaking process to consider rescheduling cannabis under the CSA. In June 2024, the IRS issued a press release stating that, until a final rule is published, cannabis remains a Schedule I controlled substance and is subject to the limitations of Section 280E. In this press release, the IRS also announced that taxpayers seeking a refund of taxes paid related to Section 280E by filing amended returns are not entitled to a refund or payment and that it is taking steps to address these claims. From time to time, the Company receives notices from various local, state, and federal tax agencies in the normal course of business. The Company is currently engaged with certain state and federal departments of revenue in respect to certain of the Company’s income tax returns that have been selected for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sales of unregistered securities during the quarter ended June 30, 2024, and from the period from July 1, 2024 to the filing date of this report, which have not been previously disclosed in a prior Quarterly Report on Form 10-Q or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both"/>
        <w:rPr>
          <w:rFonts w:ascii="Times New Roman;sans-serif" w:hAnsi="Times New Roman;sans-serif"/>
          <w:b/>
          <w:color w:val="000000"/>
          <w:sz w:val="20"/>
          <w:u w:val="single"/>
        </w:rPr>
      </w:pPr>
      <w:r>
        <w:rPr>
          <w:rFonts w:ascii="Times New Roman;sans-serif" w:hAnsi="Times New Roman;sans-serif"/>
          <w:b/>
          <w:color w:val="000000"/>
          <w:sz w:val="20"/>
          <w:u w:val="single"/>
        </w:rPr>
        <w:t>Securities Trading Plans of Directors and Executive Officers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 EXHIBIT INDEX</w:t>
      </w:r>
    </w:p>
    <w:tbl>
      <w:tblPr>
        <w:tblW w:w="10205" w:type="dxa"/>
        <w:jc w:val="center"/>
        <w:tblInd w:w="0" w:type="dxa"/>
        <w:tblLayout w:type="fixed"/>
        <w:tblCellMar>
          <w:top w:w="28" w:type="dxa"/>
          <w:left w:w="28" w:type="dxa"/>
          <w:bottom w:w="28" w:type="dxa"/>
          <w:right w:w="28" w:type="dxa"/>
        </w:tblCellMar>
      </w:tblPr>
      <w:tblGrid>
        <w:gridCol w:w="259"/>
        <w:gridCol w:w="228"/>
        <w:gridCol w:w="229"/>
        <w:gridCol w:w="109"/>
        <w:gridCol w:w="109"/>
        <w:gridCol w:w="109"/>
        <w:gridCol w:w="1918"/>
        <w:gridCol w:w="1657"/>
        <w:gridCol w:w="1665"/>
        <w:gridCol w:w="109"/>
        <w:gridCol w:w="109"/>
        <w:gridCol w:w="109"/>
        <w:gridCol w:w="175"/>
        <w:gridCol w:w="175"/>
        <w:gridCol w:w="176"/>
        <w:gridCol w:w="109"/>
        <w:gridCol w:w="109"/>
        <w:gridCol w:w="109"/>
        <w:gridCol w:w="237"/>
        <w:gridCol w:w="237"/>
        <w:gridCol w:w="200"/>
        <w:gridCol w:w="109"/>
        <w:gridCol w:w="109"/>
        <w:gridCol w:w="109"/>
        <w:gridCol w:w="225"/>
        <w:gridCol w:w="225"/>
        <w:gridCol w:w="226"/>
        <w:gridCol w:w="109"/>
        <w:gridCol w:w="109"/>
        <w:gridCol w:w="109"/>
        <w:gridCol w:w="272"/>
        <w:gridCol w:w="190"/>
        <w:gridCol w:w="276"/>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23,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23, 2021</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15,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23, 2021</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Form of Warrant Agreement between Ascend Wellness Holdings, Inc. and each of the several lenders, dated June 30,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15, 2022</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Indenture dated July 16, 2024 by and between Ascend Wellness Holdings, Inc. and Odyssey Trust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22, 2024</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Guaranty dated July 16, 2024 by and between Chicago Alternative Health Center, LLC, HealthCentral, LLC, MOCA LLC, Revolution Cannabis-Barry, LLC, The Homecoming Group, LLC, Ascend Maryland, LLC, Ascend Mass, LLC, MassGrow, LLC, FPAW Michigan LLC, Ascend New Jersey, LLC, BCCO, LLC, Ohio Cannabis Clinic LLC, and Story of PA CR, LLC (collectively, the “Guarantors”)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22, 2024</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Pledge and Security Agreement dated July 16, 2024 by and between Ascend Wellness Holdings, Inc., and Revolution Cannabis-Barry, LLC, Chicago Alternative Health Center, LLC, MOCA LLC, Healthcentral, LLC, The Homecoming Group, LLC, Ascend Mass, LLC, Massgrow, LLC, FPAW Michigan, LLC, BCCO, LLC, Ohio Cannabis Clinic LLC, Ascend New Jersey, LLC, Story Of PA CR, LLC, Ascend Maryland, LLC, Ascend Mass, Inc., Ascend Illinois Holdings, LLC, Ascend Illinois, LLC, Massgrow, Inc., AWH Pennsylvania, LLC, FPAW Michigan 2, Inc., as the initial grantors (collectively, the “Initial Grantors”), and Odyssey Trust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22, 2024</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06302024.htm">
              <w:r>
                <w:rPr>
                  <w:rStyle w:val="InternetLink"/>
                  <w:rFonts w:ascii="Times New Roman;sans-serif" w:hAnsi="Times New Roman;sans-serif"/>
                  <w:b w:val="false"/>
                  <w:color w:val="0000FF"/>
                  <w:sz w:val="18"/>
                  <w:u w:val="single"/>
                </w:rPr>
                <w:t>Certification of Periodic Report by Principal Executive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06302024.htm">
              <w:r>
                <w:rPr>
                  <w:rStyle w:val="InternetLink"/>
                  <w:rFonts w:ascii="Times New Roman;sans-serif" w:hAnsi="Times New Roman;sans-serif"/>
                  <w:b w:val="false"/>
                  <w:color w:val="0000FF"/>
                  <w:sz w:val="18"/>
                  <w:u w:val="single"/>
                </w:rPr>
                <w:t>Certification of Periodic Report by Principal Financial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06302024.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w10:wrap type="none"/>
              </v:rect>
            </w:pict>
          </mc:Fallback>
        </mc:AlternateContent>
      </w:r>
    </w:p>
    <w:p>
      <w:pPr>
        <w:pStyle w:val="TextBody"/>
        <w:bidi w:val="0"/>
        <w:spacing w:before="0" w:after="18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264"/>
        <w:gridCol w:w="205"/>
        <w:gridCol w:w="207"/>
        <w:gridCol w:w="109"/>
        <w:gridCol w:w="109"/>
        <w:gridCol w:w="109"/>
        <w:gridCol w:w="2223"/>
        <w:gridCol w:w="2154"/>
        <w:gridCol w:w="216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60"/>
        <w:ind w:left="0" w:right="0" w:hanging="360"/>
        <w:jc w:val="both"/>
        <w:rPr>
          <w:color w:val="000000"/>
        </w:rPr>
      </w:pPr>
      <w:r>
        <w:rPr>
          <w:color w:val="000000"/>
        </w:rPr>
        <w:t>‡    </w:t>
      </w:r>
      <w:r>
        <w:rPr>
          <w:rFonts w:ascii="Times New Roman;sans-serif" w:hAnsi="Times New Roman;sans-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Certain schedules and exhibits have been omitted in compliance with Regulation S-K Item 601(a)(5). The Company agrees to furnish a copy of any omitted schedule or exhibit to the SEC upon its request. Certain personal information has been redacted from this exhibit pursuant to Item 601(a)(6)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45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807"/>
        <w:gridCol w:w="807"/>
        <w:gridCol w:w="114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Ascend Wellness Holdings,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Mark Cassebaum</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Cassebaum</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tbl>
      <w:tblPr>
        <w:tblW w:w="4302"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763"/>
        <w:gridCol w:w="763"/>
        <w:gridCol w:w="108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Roman Nemchenko</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 Nemchenko</w:t>
              <w:br/>
              <w:t xml:space="preserve">Executive Vice President, </w:t>
              <w:br/>
              <w:t>Chief Accounting Officer</w:t>
              <w:br/>
              <w:t>(Principal Accounting Officer)</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John Hartmann,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4494"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809"/>
        <w:gridCol w:w="809"/>
        <w:gridCol w:w="812"/>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Mark Cassebaum,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434"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89"/>
        <w:gridCol w:w="789"/>
        <w:gridCol w:w="792"/>
        <w:gridCol w:w="109"/>
        <w:gridCol w:w="109"/>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Cassebaum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Cassebaum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13a-14(b) OR 15d-14(b)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Ascend Wellness Holdings, Inc. (the “Company”) for the quarter ended June 30, 2024, as filed with the Securities and Exchange Commission on the date hereof (the “Report”), John Hartmann, Chief Executive Officer of the Company, and Mark Cassebaum,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Exchange Act;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180"/>
        <w:jc w:val="left"/>
        <w:rPr/>
      </w:pPr>
      <w:r>
        <w:rPr/>
      </w:r>
    </w:p>
    <w:p>
      <w:pPr>
        <w:pStyle w:val="TextBody"/>
        <w:bidi w:val="0"/>
        <w:spacing w:before="0" w:after="180"/>
        <w:jc w:val="left"/>
        <w:rPr/>
      </w:pPr>
      <w:r>
        <w:rPr/>
      </w:r>
    </w:p>
    <w:tbl>
      <w:tblPr>
        <w:tblW w:w="416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24"/>
        <w:gridCol w:w="724"/>
        <w:gridCol w:w="102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Hartmann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Hartmann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0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706"/>
        <w:gridCol w:w="706"/>
        <w:gridCol w:w="100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Cassebaum</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Cassebaum</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62828021007411/exhibit35-sx1a2.htm" TargetMode="External"/><Relationship Id="rId5" Type="http://schemas.openxmlformats.org/officeDocument/2006/relationships/hyperlink" Target="https://www.sec.gov/Archives/edgar/data/1756390/000162828021006948/exhibit41-sx1a1.htm" TargetMode="External"/><Relationship Id="rId6" Type="http://schemas.openxmlformats.org/officeDocument/2006/relationships/hyperlink" Target="https://www.sec.gov/Archives/edgar/data/1756390/000162828021007411/exhibit42-sx1a2.htm" TargetMode="External"/><Relationship Id="rId7" Type="http://schemas.openxmlformats.org/officeDocument/2006/relationships/hyperlink" Target="https://www.sec.gov/Archives/edgar/data/1756390/000162828022022910/formofwarrantagreement.htm" TargetMode="External"/><Relationship Id="rId8" Type="http://schemas.openxmlformats.org/officeDocument/2006/relationships/hyperlink" Target="https://www.sec.gov/Archives/edgar/data/1756390/000162828024032485/awh-2024notesindentureex41.htm" TargetMode="External"/><Relationship Id="rId9" Type="http://schemas.openxmlformats.org/officeDocument/2006/relationships/hyperlink" Target="https://www.sec.gov/Archives/edgar/data/1756390/000162828024032485/ascend-guarantyex42toform8.htm" TargetMode="External"/><Relationship Id="rId10" Type="http://schemas.openxmlformats.org/officeDocument/2006/relationships/hyperlink" Target="https://www.sec.gov/Archives/edgar/data/1756390/000162828024032485/ascend-pledgeandsecurityag.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33938</Words>
  <Characters>187148</Characters>
  <CharactersWithSpaces>219544</CharactersWithSpaces>
  <Paragraphs>2589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