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from______ to______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ASCEND WELLNESS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Arial" w:cs="Arial" w:eastAsia="Arial" w:hAnsi="Arial"/>
                <w:sz w:val="18"/>
                <w:szCs w:val="18"/>
                <w:b w:val="1"/>
                <w:bCs w:val="1"/>
                <w:color w:val="auto"/>
              </w:rPr>
              <w:t>83-0602006</w:t>
            </w:r>
          </w:p>
        </w:tc>
        <w:tc>
          <w:tcPr>
            <w:tcW w:w="200" w:type="dxa"/>
            <w:vAlign w:val="bottom"/>
          </w:tcPr>
          <w:p>
            <w:pPr>
              <w:spacing w:after="0"/>
              <w:rPr>
                <w:sz w:val="20"/>
                <w:szCs w:val="20"/>
                <w:color w:val="auto"/>
              </w:rPr>
            </w:pPr>
          </w:p>
        </w:tc>
      </w:tr>
      <w:tr>
        <w:trPr>
          <w:trHeight w:val="256"/>
        </w:trPr>
        <w:tc>
          <w:tcPr>
            <w:tcW w:w="220" w:type="dxa"/>
            <w:vAlign w:val="bottom"/>
          </w:tcPr>
          <w:p>
            <w:pPr>
              <w:spacing w:after="0"/>
              <w:rPr>
                <w:sz w:val="22"/>
                <w:szCs w:val="22"/>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2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1411 Broadway</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1"/>
              </w:rPr>
              <w:t>16th Floor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New York, NY 10018</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(646) 661-7600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7"/>
          </w:tcPr>
          <w:p>
            <w:pPr>
              <w:jc w:val="center"/>
              <w:ind w:right="34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9"/>
          </w:tcPr>
          <w:p>
            <w:pPr>
              <w:jc w:val="center"/>
              <w:ind w:right="262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Arial" w:cs="Arial" w:eastAsia="Arial" w:hAnsi="Arial"/>
                <w:sz w:val="18"/>
                <w:szCs w:val="18"/>
                <w:color w:val="auto"/>
              </w:rPr>
              <w:t>Trading Symbol(s)</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jc w:val="both"/>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August 11, 2021, there were 170,648,127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Condensed Consolidated Financial Statements</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4. 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1A. 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3.</w:t>
            </w:r>
          </w:p>
        </w:tc>
        <w:tc>
          <w:tcPr>
            <w:tcW w:w="1048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4.</w:t>
            </w:r>
          </w:p>
        </w:tc>
        <w:tc>
          <w:tcPr>
            <w:tcW w:w="10480" w:type="dxa"/>
            <w:vAlign w:val="bottom"/>
          </w:tcPr>
          <w:p>
            <w:pPr>
              <w:ind w:left="20"/>
              <w:spacing w:after="0"/>
              <w:rPr>
                <w:sz w:val="20"/>
                <w:szCs w:val="20"/>
                <w:color w:val="auto"/>
              </w:rPr>
            </w:pPr>
            <w:r>
              <w:rPr>
                <w:rFonts w:ascii="Arial" w:cs="Arial" w:eastAsia="Arial" w:hAnsi="Arial"/>
                <w:sz w:val="18"/>
                <w:szCs w:val="18"/>
                <w:color w:val="auto"/>
              </w:rPr>
              <w:t>Mine Safety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5.</w:t>
            </w:r>
          </w:p>
        </w:tc>
        <w:tc>
          <w:tcPr>
            <w:tcW w:w="104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6.</w:t>
            </w:r>
          </w:p>
        </w:tc>
        <w:tc>
          <w:tcPr>
            <w:tcW w:w="10480" w:type="dxa"/>
            <w:vAlign w:val="bottom"/>
          </w:tcPr>
          <w:p>
            <w:pPr>
              <w:ind w:left="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Form 10-Q contains “forward-looking statements” regarding Ascend Wellness Holdings, Inc. and its subsidiaries (collectively referred to as “AWH,” “we,” “us,” “our,” or the “Company”).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potential future U.S. Food and Drug Administration (the “FDA”)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Part II, Item 1A, “Risk Factors,” in our quarterly report on Form 10-Q for the period ended March 31, 2021 and in other reports we may file from time to time with the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47,099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28,997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Notes receivable</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189,398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182,486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120,540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50,461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578,763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4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47,212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31,224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debt, net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115,285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40" w:type="dxa"/>
            <w:vAlign w:val="bottom"/>
            <w:gridSpan w:val="2"/>
          </w:tcPr>
          <w:p>
            <w:pPr>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104,730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152,277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389,443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423,962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69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w w:val="93"/>
              </w:rPr>
              <w:t>Membership units, no par value; none authorized, issued, and outstanding as of June 30, 2021; 106,082</w:t>
            </w:r>
          </w:p>
        </w:tc>
        <w:tc>
          <w:tcPr>
            <w:tcW w:w="34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issued and outstanding as of December 31, 2020 (Note 12)</w:t>
            </w:r>
          </w:p>
        </w:tc>
        <w:tc>
          <w:tcPr>
            <w:tcW w:w="340" w:type="dxa"/>
            <w:vAlign w:val="bottom"/>
            <w:shd w:val="clear" w:color="auto" w:fill="CCEEFF"/>
          </w:tcPr>
          <w:p>
            <w:pPr>
              <w:spacing w:after="0"/>
              <w:rPr>
                <w:sz w:val="18"/>
                <w:szCs w:val="18"/>
                <w:color w:val="auto"/>
              </w:rPr>
            </w:pPr>
          </w:p>
        </w:tc>
        <w:tc>
          <w:tcPr>
            <w:tcW w:w="1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4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1"/>
              </w:rPr>
              <w:t>Preferred stock, $0.001 par value per share; 10,000 shares authorized, none issued and outstanding as of</w:t>
            </w:r>
          </w:p>
        </w:tc>
        <w:tc>
          <w:tcPr>
            <w:tcW w:w="340" w:type="dxa"/>
            <w:vAlign w:val="bottom"/>
          </w:tcPr>
          <w:p>
            <w:pPr>
              <w:spacing w:after="0"/>
              <w:rPr>
                <w:sz w:val="14"/>
                <w:szCs w:val="14"/>
                <w:color w:val="auto"/>
              </w:rPr>
            </w:pPr>
          </w:p>
        </w:tc>
        <w:tc>
          <w:tcPr>
            <w:tcW w:w="1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June 30, 2021; none authorized, issued, and outstanding as of December 31, 2020 (Note 12)</w:t>
            </w:r>
          </w:p>
        </w:tc>
        <w:tc>
          <w:tcPr>
            <w:tcW w:w="3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9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Class A common stock, $0.001 par value per share; 750,000 shares authorized, 168,764 shares issued and</w:t>
            </w: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9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w w:val="93"/>
              </w:rPr>
              <w:t>outstanding as of June 30, 2021; none authorized, issued, and outstanding as of December 31, 2020</w:t>
            </w:r>
          </w:p>
        </w:tc>
        <w:tc>
          <w:tcPr>
            <w:tcW w:w="34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(Note 12)</w:t>
            </w:r>
          </w:p>
        </w:tc>
        <w:tc>
          <w:tcPr>
            <w:tcW w:w="34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4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Class B common stock, $0.001 par value per share, 100 shares authorized, 65 shares issued and</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gridSpan w:val="2"/>
          </w:tcPr>
          <w:p>
            <w:pPr>
              <w:ind w:left="220"/>
              <w:spacing w:after="0" w:line="162" w:lineRule="exact"/>
              <w:rPr>
                <w:sz w:val="20"/>
                <w:szCs w:val="20"/>
                <w:color w:val="auto"/>
              </w:rPr>
            </w:pPr>
            <w:r>
              <w:rPr>
                <w:rFonts w:ascii="Arial" w:cs="Arial" w:eastAsia="Arial" w:hAnsi="Arial"/>
                <w:sz w:val="16"/>
                <w:szCs w:val="16"/>
                <w:color w:val="auto"/>
                <w:w w:val="93"/>
              </w:rPr>
              <w:t>outstanding as of June 30, 2021; none authorized, issued, and outstanding as of December 31, 2020</w:t>
            </w:r>
          </w:p>
        </w:tc>
        <w:tc>
          <w:tcPr>
            <w:tcW w:w="340" w:type="dxa"/>
            <w:vAlign w:val="bottom"/>
          </w:tcPr>
          <w:p>
            <w:pPr>
              <w:spacing w:after="0"/>
              <w:rPr>
                <w:sz w:val="14"/>
                <w:szCs w:val="14"/>
                <w:color w:val="auto"/>
              </w:rPr>
            </w:pPr>
          </w:p>
        </w:tc>
        <w:tc>
          <w:tcPr>
            <w:tcW w:w="1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6"/>
                <w:szCs w:val="16"/>
                <w:color w:val="auto"/>
              </w:rPr>
              <w:t>(Note 12)</w:t>
            </w:r>
          </w:p>
        </w:tc>
        <w:tc>
          <w:tcPr>
            <w:tcW w:w="3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578,763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Settlement expense</w:t>
            </w: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5"/>
              </w:rPr>
              <w:t>Net loss attributable to Ascend Wellness Holdings,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7"/>
              </w:rPr>
              <w:t>Net loss per share attributable to Class A and Class B</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gridSpan w:val="2"/>
          </w:tcPr>
          <w:p>
            <w:pPr>
              <w:ind w:left="160"/>
              <w:spacing w:after="0" w:line="176" w:lineRule="exact"/>
              <w:rPr>
                <w:sz w:val="20"/>
                <w:szCs w:val="20"/>
                <w:color w:val="auto"/>
              </w:rPr>
            </w:pPr>
            <w:r>
              <w:rPr>
                <w:rFonts w:ascii="Arial" w:cs="Arial" w:eastAsia="Arial" w:hAnsi="Arial"/>
                <w:sz w:val="18"/>
                <w:szCs w:val="18"/>
                <w:b w:val="1"/>
                <w:bCs w:val="1"/>
                <w:color w:val="auto"/>
                <w:w w:val="89"/>
              </w:rPr>
              <w:t>stockholders of Ascend Wellness Holdings, Inc. — basic</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b w:val="1"/>
                <w:bCs w:val="1"/>
                <w:color w:val="auto"/>
              </w:rPr>
              <w:t>and diluted (Note 12)</w:t>
            </w:r>
          </w:p>
        </w:tc>
        <w:tc>
          <w:tcPr>
            <w:tcW w:w="3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Weighted-average common shares outstanding — basic</w:t>
            </w: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diluted</w:t>
            </w:r>
          </w:p>
        </w:tc>
        <w:tc>
          <w:tcPr>
            <w:tcW w:w="3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Six Months Ended June 30,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5"/>
          </w:tcPr>
          <w:p>
            <w:pPr>
              <w:ind w:left="280"/>
              <w:spacing w:after="0" w:line="152" w:lineRule="exact"/>
              <w:rPr>
                <w:sz w:val="20"/>
                <w:szCs w:val="20"/>
                <w:color w:val="auto"/>
              </w:rPr>
            </w:pPr>
            <w:r>
              <w:rPr>
                <w:rFonts w:ascii="Arial" w:cs="Arial" w:eastAsia="Arial" w:hAnsi="Arial"/>
                <w:sz w:val="15"/>
                <w:szCs w:val="15"/>
                <w:b w:val="1"/>
                <w:bCs w:val="1"/>
                <w:color w:val="auto"/>
              </w:rPr>
              <w:t>Class A and Class B</w:t>
            </w:r>
          </w:p>
        </w:tc>
        <w:tc>
          <w:tcPr>
            <w:tcW w:w="140" w:type="dxa"/>
            <w:vAlign w:val="bottom"/>
            <w:tcBorders>
              <w:top w:val="single" w:sz="8" w:color="auto"/>
            </w:tcBorders>
          </w:tcPr>
          <w:p>
            <w:pPr>
              <w:spacing w:after="0"/>
              <w:rPr>
                <w:sz w:val="13"/>
                <w:szCs w:val="13"/>
                <w:color w:val="auto"/>
              </w:rPr>
            </w:pPr>
          </w:p>
        </w:tc>
        <w:tc>
          <w:tcPr>
            <w:tcW w:w="3720" w:type="dxa"/>
            <w:vAlign w:val="bottom"/>
            <w:tcBorders>
              <w:top w:val="single" w:sz="8" w:color="auto"/>
            </w:tcBorders>
            <w:gridSpan w:val="7"/>
            <w:vMerge w:val="restart"/>
          </w:tcPr>
          <w:p>
            <w:pPr>
              <w:jc w:val="right"/>
              <w:ind w:right="527"/>
              <w:spacing w:after="0"/>
              <w:rPr>
                <w:sz w:val="20"/>
                <w:szCs w:val="20"/>
                <w:color w:val="auto"/>
              </w:rPr>
            </w:pPr>
            <w:r>
              <w:rPr>
                <w:rFonts w:ascii="Arial" w:cs="Arial" w:eastAsia="Arial" w:hAnsi="Arial"/>
                <w:sz w:val="15"/>
                <w:szCs w:val="15"/>
                <w:b w:val="1"/>
                <w:bCs w:val="1"/>
                <w:color w:val="auto"/>
              </w:rPr>
              <w:t>Attributable to Stockholders of the Parent</w:t>
            </w:r>
          </w:p>
        </w:tc>
        <w:tc>
          <w:tcPr>
            <w:tcW w:w="8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5"/>
                <w:szCs w:val="15"/>
                <w:b w:val="1"/>
                <w:bCs w:val="1"/>
                <w:color w:val="auto"/>
              </w:rPr>
              <w:t>Common Stock</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7"/>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7"/>
              </w:rPr>
              <w:t>Non-</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Historical</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89"/>
              </w:rPr>
              <w:t>Additional</w:t>
            </w: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86"/>
              </w:rPr>
              <w:t>Stockholders’</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89"/>
              </w:rPr>
              <w:t>Controlling</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Total 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2"/>
          </w:tcPr>
          <w:p>
            <w:pPr>
              <w:spacing w:after="0" w:line="115" w:lineRule="exact"/>
              <w:rPr>
                <w:sz w:val="20"/>
                <w:szCs w:val="20"/>
                <w:color w:val="auto"/>
              </w:rPr>
            </w:pPr>
            <w:r>
              <w:rPr>
                <w:rFonts w:ascii="Arial" w:cs="Arial" w:eastAsia="Arial" w:hAnsi="Arial"/>
                <w:sz w:val="13"/>
                <w:szCs w:val="13"/>
                <w:i w:val="1"/>
                <w:iCs w:val="1"/>
                <w:color w:val="auto"/>
              </w:rPr>
              <w:t>(in thousands)</w:t>
            </w:r>
          </w:p>
        </w:tc>
        <w:tc>
          <w:tcPr>
            <w:tcW w:w="1100" w:type="dxa"/>
            <w:vAlign w:val="bottom"/>
            <w:tcBorders>
              <w:right w:val="single" w:sz="8" w:color="auto"/>
            </w:tcBorders>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LLC Units</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16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rPr>
              <w:t>Paid-In Capital</w:t>
            </w:r>
          </w:p>
        </w:tc>
        <w:tc>
          <w:tcPr>
            <w:tcW w:w="160" w:type="dxa"/>
            <w:vAlign w:val="bottom"/>
          </w:tcPr>
          <w:p>
            <w:pPr>
              <w:spacing w:after="0"/>
              <w:rPr>
                <w:sz w:val="11"/>
                <w:szCs w:val="11"/>
                <w:color w:val="auto"/>
              </w:rPr>
            </w:pPr>
          </w:p>
        </w:tc>
        <w:tc>
          <w:tcPr>
            <w:tcW w:w="1200" w:type="dxa"/>
            <w:vAlign w:val="bottom"/>
            <w:gridSpan w:val="2"/>
          </w:tcPr>
          <w:p>
            <w:pPr>
              <w:ind w:left="260"/>
              <w:spacing w:after="0" w:line="115"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Equity (Deficit)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9"/>
              </w:rPr>
              <w:t>Interests</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December 31, 2020</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106,082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3,786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Vesting of restricted common</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1,033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units</w:t>
            </w:r>
          </w:p>
        </w:tc>
        <w:tc>
          <w:tcPr>
            <w:tcW w:w="10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rPr>
              <w:t>Equity-based compensation</w:t>
            </w: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50</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2,487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0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Reserve for equity issued in</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00" w:type="dxa"/>
            <w:vAlign w:val="bottom"/>
            <w:vMerge w:val="restart"/>
          </w:tcPr>
          <w:p>
            <w:pPr>
              <w:jc w:val="right"/>
              <w:ind w:right="7"/>
              <w:spacing w:after="0"/>
              <w:rPr>
                <w:sz w:val="20"/>
                <w:szCs w:val="20"/>
                <w:color w:val="auto"/>
              </w:rPr>
            </w:pPr>
            <w:r>
              <w:rPr>
                <w:rFonts w:ascii="Arial" w:cs="Arial" w:eastAsia="Arial" w:hAnsi="Arial"/>
                <w:sz w:val="15"/>
                <w:szCs w:val="15"/>
                <w:color w:val="auto"/>
              </w:rPr>
              <w:t>27,431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27,431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litigation settlement</w:t>
            </w:r>
          </w:p>
        </w:tc>
        <w:tc>
          <w:tcPr>
            <w:tcW w:w="11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5"/>
                <w:szCs w:val="15"/>
                <w:b w:val="1"/>
                <w:bCs w:val="1"/>
                <w:color w:val="auto"/>
              </w:rPr>
              <w:t>March 31, 2021</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107,165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97,296</w:t>
            </w:r>
          </w:p>
        </w:tc>
        <w:tc>
          <w:tcPr>
            <w:tcW w:w="10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(111,815)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(14,519)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(14,519)</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rPr>
              <w:t>Release of reserve for equity</w:t>
            </w:r>
          </w:p>
        </w:tc>
        <w:tc>
          <w:tcPr>
            <w:tcW w:w="11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(27,431)</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issued in litigation settlement</w:t>
            </w:r>
          </w:p>
        </w:tc>
        <w:tc>
          <w:tcPr>
            <w:tcW w:w="11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Equity issued in litigation</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5,025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00" w:type="dxa"/>
            <w:vAlign w:val="bottom"/>
            <w:vMerge w:val="restart"/>
          </w:tcPr>
          <w:p>
            <w:pPr>
              <w:jc w:val="right"/>
              <w:ind w:right="7"/>
              <w:spacing w:after="0"/>
              <w:rPr>
                <w:sz w:val="20"/>
                <w:szCs w:val="20"/>
                <w:color w:val="auto"/>
              </w:rPr>
            </w:pPr>
            <w:r>
              <w:rPr>
                <w:rFonts w:ascii="Arial" w:cs="Arial" w:eastAsia="Arial" w:hAnsi="Arial"/>
                <w:sz w:val="15"/>
                <w:szCs w:val="15"/>
                <w:color w:val="auto"/>
              </w:rPr>
              <w:t>27,431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27,431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settlement</w:t>
            </w:r>
          </w:p>
        </w:tc>
        <w:tc>
          <w:tcPr>
            <w:tcW w:w="10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w w:val="91"/>
              </w:rPr>
              <w:t>Conversion of historical common</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(55,330)</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55,330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units</w:t>
            </w:r>
          </w:p>
        </w:tc>
        <w:tc>
          <w:tcPr>
            <w:tcW w:w="10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w w:val="90"/>
              </w:rPr>
              <w:t>Conversion of historical preferred</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(58,036)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58,036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units</w:t>
            </w:r>
          </w:p>
        </w:tc>
        <w:tc>
          <w:tcPr>
            <w:tcW w:w="10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rPr>
              <w:t>Issuance of common stock in</w:t>
            </w:r>
          </w:p>
        </w:tc>
        <w:tc>
          <w:tcPr>
            <w:tcW w:w="10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5"/>
                <w:szCs w:val="15"/>
                <w:color w:val="auto"/>
                <w:w w:val="97"/>
              </w:rPr>
              <w:t>public offerings, net of $5,935</w:t>
            </w:r>
          </w:p>
        </w:tc>
        <w:tc>
          <w:tcPr>
            <w:tcW w:w="10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5"/>
                <w:szCs w:val="15"/>
                <w:color w:val="auto"/>
              </w:rPr>
              <w:t>of underwriting commissions</w:t>
            </w:r>
          </w:p>
        </w:tc>
        <w:tc>
          <w:tcPr>
            <w:tcW w:w="10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5"/>
                <w:szCs w:val="15"/>
                <w:color w:val="auto"/>
              </w:rPr>
              <w:t>and discounts and offering</w:t>
            </w:r>
          </w:p>
        </w:tc>
        <w:tc>
          <w:tcPr>
            <w:tcW w:w="11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86,053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86,065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86,065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expenses</w:t>
            </w:r>
          </w:p>
        </w:tc>
        <w:tc>
          <w:tcPr>
            <w:tcW w:w="11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w w:val="95"/>
              </w:rPr>
              <w:t>Conversion of convertible notes</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37,388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137,718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00" w:type="dxa"/>
            <w:vAlign w:val="bottom"/>
            <w:vMerge w:val="restart"/>
          </w:tcPr>
          <w:p>
            <w:pPr>
              <w:jc w:val="right"/>
              <w:ind w:right="7"/>
              <w:spacing w:after="0"/>
              <w:rPr>
                <w:sz w:val="20"/>
                <w:szCs w:val="20"/>
                <w:color w:val="auto"/>
              </w:rPr>
            </w:pPr>
            <w:r>
              <w:rPr>
                <w:rFonts w:ascii="Arial" w:cs="Arial" w:eastAsia="Arial" w:hAnsi="Arial"/>
                <w:sz w:val="15"/>
                <w:szCs w:val="15"/>
                <w:color w:val="auto"/>
              </w:rPr>
              <w:t>137,755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137,755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upon initial public offering</w:t>
            </w:r>
          </w:p>
        </w:tc>
        <w:tc>
          <w:tcPr>
            <w:tcW w:w="11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rPr>
              <w:t>Beneficial conversion feature</w:t>
            </w:r>
          </w:p>
        </w:tc>
        <w:tc>
          <w:tcPr>
            <w:tcW w:w="10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5"/>
                <w:szCs w:val="15"/>
                <w:color w:val="auto"/>
                <w:w w:val="97"/>
              </w:rPr>
              <w:t>associated with conversion of</w:t>
            </w:r>
          </w:p>
        </w:tc>
        <w:tc>
          <w:tcPr>
            <w:tcW w:w="10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5"/>
                <w:szCs w:val="15"/>
                <w:color w:val="auto"/>
              </w:rPr>
              <w:t>preferred units upon initial</w:t>
            </w:r>
          </w:p>
        </w:tc>
        <w:tc>
          <w:tcPr>
            <w:tcW w:w="11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27,358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27,361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27,361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public offering</w:t>
            </w:r>
          </w:p>
        </w:tc>
        <w:tc>
          <w:tcPr>
            <w:tcW w:w="11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Vesting of restricted common</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1,176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3,155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5"/>
                <w:szCs w:val="15"/>
                <w:color w:val="auto"/>
              </w:rPr>
              <w:t>units</w:t>
            </w:r>
          </w:p>
        </w:tc>
        <w:tc>
          <w:tcPr>
            <w:tcW w:w="10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5"/>
                <w:szCs w:val="15"/>
                <w:color w:val="auto"/>
              </w:rPr>
              <w:t>Equity-based compensation</w:t>
            </w:r>
          </w:p>
        </w:tc>
        <w:tc>
          <w:tcPr>
            <w:tcW w:w="11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1,711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1,711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11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5"/>
                <w:szCs w:val="15"/>
                <w:color w:val="auto"/>
              </w:rPr>
              <w:t>Repurchase of warrants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(44,897)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(44,897)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5"/>
                <w:szCs w:val="15"/>
                <w:b w:val="1"/>
                <w:bCs w:val="1"/>
                <w:color w:val="auto"/>
              </w:rPr>
              <w:t>June 30, 2021</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345,864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(156,712)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189,320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w w:val="92"/>
              </w:rPr>
              <w:t>Six Months Ended June 30, 2020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ind w:left="320"/>
              <w:spacing w:after="0" w:line="142" w:lineRule="exact"/>
              <w:rPr>
                <w:sz w:val="20"/>
                <w:szCs w:val="20"/>
                <w:color w:val="auto"/>
              </w:rPr>
            </w:pPr>
            <w:r>
              <w:rPr>
                <w:rFonts w:ascii="Arial" w:cs="Arial" w:eastAsia="Arial" w:hAnsi="Arial"/>
                <w:sz w:val="15"/>
                <w:szCs w:val="15"/>
                <w:b w:val="1"/>
                <w:bCs w:val="1"/>
                <w:color w:val="auto"/>
              </w:rPr>
              <w:t>Class A and Class B</w:t>
            </w:r>
          </w:p>
        </w:tc>
        <w:tc>
          <w:tcPr>
            <w:tcW w:w="140" w:type="dxa"/>
            <w:vAlign w:val="bottom"/>
          </w:tcPr>
          <w:p>
            <w:pPr>
              <w:spacing w:after="0"/>
              <w:rPr>
                <w:sz w:val="12"/>
                <w:szCs w:val="12"/>
                <w:color w:val="auto"/>
              </w:rPr>
            </w:pPr>
          </w:p>
        </w:tc>
        <w:tc>
          <w:tcPr>
            <w:tcW w:w="3680" w:type="dxa"/>
            <w:vAlign w:val="bottom"/>
            <w:gridSpan w:val="7"/>
            <w:vMerge w:val="restart"/>
          </w:tcPr>
          <w:p>
            <w:pPr>
              <w:jc w:val="right"/>
              <w:ind w:right="509"/>
              <w:spacing w:after="0"/>
              <w:rPr>
                <w:sz w:val="20"/>
                <w:szCs w:val="20"/>
                <w:color w:val="auto"/>
              </w:rPr>
            </w:pPr>
            <w:r>
              <w:rPr>
                <w:rFonts w:ascii="Arial" w:cs="Arial" w:eastAsia="Arial" w:hAnsi="Arial"/>
                <w:sz w:val="15"/>
                <w:szCs w:val="15"/>
                <w:b w:val="1"/>
                <w:bCs w:val="1"/>
                <w:color w:val="auto"/>
              </w:rPr>
              <w:t>Attributable to Stockholders of the Parent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Borders>
              <w:bottom w:val="single" w:sz="8" w:color="auto"/>
            </w:tcBorders>
            <w:gridSpan w:val="4"/>
          </w:tcPr>
          <w:p>
            <w:pPr>
              <w:ind w:left="480"/>
              <w:spacing w:after="0"/>
              <w:rPr>
                <w:sz w:val="20"/>
                <w:szCs w:val="20"/>
                <w:color w:val="auto"/>
              </w:rPr>
            </w:pPr>
            <w:r>
              <w:rPr>
                <w:rFonts w:ascii="Arial" w:cs="Arial" w:eastAsia="Arial" w:hAnsi="Arial"/>
                <w:sz w:val="15"/>
                <w:szCs w:val="15"/>
                <w:b w:val="1"/>
                <w:bCs w:val="1"/>
                <w:color w:val="auto"/>
              </w:rPr>
              <w:t>Common Stock</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7"/>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0"/>
              </w:rPr>
              <w:t>Historical</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86"/>
              </w:rPr>
              <w:t>Stockholders’</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2"/>
              </w:rPr>
              <w:t>Controlling</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Total 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2"/>
          </w:tcPr>
          <w:p>
            <w:pPr>
              <w:spacing w:after="0" w:line="115" w:lineRule="exact"/>
              <w:rPr>
                <w:sz w:val="20"/>
                <w:szCs w:val="20"/>
                <w:color w:val="auto"/>
              </w:rPr>
            </w:pPr>
            <w:r>
              <w:rPr>
                <w:rFonts w:ascii="Arial" w:cs="Arial" w:eastAsia="Arial" w:hAnsi="Arial"/>
                <w:sz w:val="13"/>
                <w:szCs w:val="13"/>
                <w:i w:val="1"/>
                <w:iCs w:val="1"/>
                <w:color w:val="auto"/>
              </w:rPr>
              <w:t>(in thousands)</w:t>
            </w:r>
          </w:p>
        </w:tc>
        <w:tc>
          <w:tcPr>
            <w:tcW w:w="1100" w:type="dxa"/>
            <w:vAlign w:val="bottom"/>
            <w:tcBorders>
              <w:right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rPr>
              <w:t>LLC Units</w:t>
            </w: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14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Paid-In Capital</w:t>
            </w:r>
          </w:p>
        </w:tc>
        <w:tc>
          <w:tcPr>
            <w:tcW w:w="160" w:type="dxa"/>
            <w:vAlign w:val="bottom"/>
          </w:tcPr>
          <w:p>
            <w:pPr>
              <w:spacing w:after="0"/>
              <w:rPr>
                <w:sz w:val="11"/>
                <w:szCs w:val="11"/>
                <w:color w:val="auto"/>
              </w:rPr>
            </w:pPr>
          </w:p>
        </w:tc>
        <w:tc>
          <w:tcPr>
            <w:tcW w:w="1220" w:type="dxa"/>
            <w:vAlign w:val="bottom"/>
            <w:gridSpan w:val="2"/>
          </w:tcPr>
          <w:p>
            <w:pPr>
              <w:ind w:left="280"/>
              <w:spacing w:after="0" w:line="115"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9"/>
              </w:rPr>
              <w:t>Interests</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89,821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2"/>
          </w:tcPr>
          <w:p>
            <w:pPr>
              <w:spacing w:after="0" w:line="135" w:lineRule="exact"/>
              <w:rPr>
                <w:sz w:val="20"/>
                <w:szCs w:val="20"/>
                <w:color w:val="auto"/>
              </w:rPr>
            </w:pPr>
            <w:r>
              <w:rPr>
                <w:rFonts w:ascii="Arial" w:cs="Arial" w:eastAsia="Arial" w:hAnsi="Arial"/>
                <w:sz w:val="14"/>
                <w:szCs w:val="14"/>
                <w:color w:val="auto"/>
              </w:rPr>
              <w:t>Equity-based compensation</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warrants</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(7,118)</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89,821</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26,648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Equity-based compensation</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expense</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warrants</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89,821</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(93,120)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(11,423)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35,898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Equity issued in litigation settlement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Loss on sale of assets</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Other current assets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19,245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Lease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Additions to capital assets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notes receivable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Collection of notes receivable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sale of assets</w:t>
            </w:r>
          </w:p>
        </w:tc>
        <w:tc>
          <w:tcPr>
            <w:tcW w:w="4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Purchase of businesses, net of cash acquired</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(71,168)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24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w w:val="94"/>
              </w:rPr>
              <w:t>Proceeds from issuance of common stock in public offerings, net of underwriting discounts and commissions</w:t>
            </w:r>
          </w:p>
        </w:tc>
        <w:tc>
          <w:tcPr>
            <w:tcW w:w="4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86,065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offering expenses</w:t>
            </w:r>
          </w:p>
        </w:tc>
        <w:tc>
          <w:tcPr>
            <w:tcW w:w="4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Proceeds from issuance of debt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debt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Repurchase of warrants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finance leases</w:t>
            </w:r>
          </w:p>
        </w:tc>
        <w:tc>
          <w:tcPr>
            <w:tcW w:w="4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Repayments under finance leases</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129,338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46,115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13,091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104,212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UNAUDITED)</w:t>
      </w:r>
    </w:p>
    <w:p>
      <w:pPr>
        <w:spacing w:after="0" w:line="200" w:lineRule="exact"/>
        <w:rPr>
          <w:sz w:val="20"/>
          <w:szCs w:val="20"/>
          <w:color w:val="auto"/>
        </w:rPr>
      </w:pPr>
    </w:p>
    <w:p>
      <w:pPr>
        <w:spacing w:after="0" w:line="394"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6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71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6,103</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Capital expenditures incurred but not yet paid</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8,914</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convertible notes and accrued interest upon initial public offering</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Conversion of preferred units into Class A common stock upon initial public offering</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70,660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Beneficial conversion feature associated with conversion of preferred units upon initial public offering</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Direct issuance costs incurred but not yet paid</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Ascend Wellness Holdings, Inc., which operates through its subsidiaries (collectively referred to as “Ascend Wellness,” “AWH,” “we,” “us,” “our,” or the “Company”), is a multi-state operator in the United States cannabis industry. AWH owns, manages, and operates cannabis cultivation facilities and dispensaries in several states across the United States, including Illinois, Massachusetts, Michigan, New Jersey, and Ohio. AWH is headquartered in New York, New York.</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“Equity,” for additional details.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“Equity,” for additional details.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and are quoted on the OTCQX under the symbol “AAWH.” We are an emerging growth company under federal securities laws and as such we are able to elect to follow scaled disclosure requirements for this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for the year ended December 31, 2020 (“Annual Financial Statements”) which are included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S-1, as amended, filed with the U.S. Securities and Exchange Commission on April 26, 2021.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June 30, 2021 and December 31, 2020, as well as a net loss for the three and six months ended June 30, 2021 and 2020, and negative cash flows from operating activities during the six months ended June 30, 2021 and 2020,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including capital raised from the Company’s IPO in May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with our current period presentation. These changes had no impact on our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determining whether we are the primary beneficiary of a variable interest entity (“VIE”), we assess whether we have the power to direct matters that most significantly impact the activities of the VIE and the obligation to absorb losses or the right to receive the benefits from the VIE that could potentially be significant to the VIE.</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 we determine we are the primary beneficiary of a VIE, we consolidate the accounts of that VIE. The equity owned by other shareholders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and December 31, 2020, we did not hold significant cash equivalents.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unaudited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206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17"/>
                <w:szCs w:val="17"/>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56,547</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2021 and 2020, we had no transfers of assets or liabilities between any of the hierarchy levels.</w:t>
      </w:r>
    </w:p>
    <w:p>
      <w:pPr>
        <w:spacing w:after="0" w:line="1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and individual and combined basis. EPS and weighted-average shares outstanding for the three and six months ended June 30, 2021 and 2020 have been computed on the basis of treating the historical common unit equivalents previously outstanding as shares of Class A common stock, as such historical units converted into shares of Class A common stock in the Conversion.</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 the current year include incremental shares of common stock issuable upon the exercise of warrants and unvested restricted stock awards. Potential dilutive securities in the prior year periods include incremental shares of common stock issuable upon the exercise of warrants, vested incentive units, and the conversion of convertible notes. As of June 30, 2021 and 2020, 5,400 and 17,794 shares of common stock equivalents, respectively, were excluded from the calculation of diluted EPS because their inclusion would have been anti-dilutive.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 of restricted stock granted by us are considered to be legally issued and outstanding as of the date of grant, notwithstanding that the shares remain subject to the risk of forfeiture if the vesting conditions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 – Simplifying the Accounting for Income Taxes</w:t>
      </w:r>
      <w:r>
        <w:rPr>
          <w:rFonts w:ascii="Arial" w:cs="Arial" w:eastAsia="Arial" w:hAnsi="Arial"/>
          <w:sz w:val="18"/>
          <w:szCs w:val="18"/>
          <w:color w:val="auto"/>
        </w:rPr>
        <w:t>, (“ASU 2019-12”) which is intended to simplify various aspects related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ASU 2019-12 removes certain exceptions to the general principles in Topic 740 and also clarifies and amends existing guidance to improve consistent application. ASU 2019-12 became effective for on beginning January 1, 2021 and did not have a significant impact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 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323), and Derivatives and Hedging (Topic 815): Clarifying the Interactions between Topic 321, Topic 323, and Topic 815. </w:t>
      </w:r>
      <w:r>
        <w:rPr>
          <w:rFonts w:ascii="Arial" w:cs="Arial" w:eastAsia="Arial" w:hAnsi="Arial"/>
          <w:sz w:val="18"/>
          <w:szCs w:val="18"/>
          <w:color w:val="auto"/>
        </w:rPr>
        <w:t>This ASU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of the interaction of rules for equity securities, the equity method of accounting, and forward contracts and purchase options on certain types of securities and became effective for the Company beginning on January 1, 2021. Adoption of this guidance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(“ASU 2016-13”). ASU 2016-13 replaces the existing guidance surrounding measurement and recognition of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ASU 2020-03, </w:t>
      </w:r>
      <w:r>
        <w:rPr>
          <w:rFonts w:ascii="Arial" w:cs="Arial" w:eastAsia="Arial" w:hAnsi="Arial"/>
          <w:sz w:val="18"/>
          <w:szCs w:val="18"/>
          <w:i w:val="1"/>
          <w:iCs w:val="1"/>
          <w:color w:val="auto"/>
        </w:rPr>
        <w:t>Codification Improvements to Financial Instruments</w:t>
      </w:r>
      <w:r>
        <w:rPr>
          <w:rFonts w:ascii="Arial" w:cs="Arial" w:eastAsia="Arial" w:hAnsi="Arial"/>
          <w:sz w:val="18"/>
          <w:szCs w:val="18"/>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consolidated financial statements. The amendments related to ASU 2019-04 and ASU 2016-13 will be adopted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conjunction with ASU 2016-13. ASU 2016-13 and its related ASUs are effective for us beginning January 1, 2023. We are currently evaluating the impact of this guidance on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Rate Reform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optional expedients and exceptions for applying U.S. GAAP to contracts, hedging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LIBOR or another reference rate expected to be discontinued because of reference rate reform. This new guidance can be adopted prospectively no later than December 1, 2022, with early adoption permitted, and is not expected to have a material impact on our consolidated financial statements.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January 2021, the FASB issued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(“ASU 2021-01”), which clarifies certain optional expedients and exceptions in Topic 848 when accounting for derivative contracts and certain hedging relationships affected by changes in interest rates. ASU 2021-01 was effective upon issuance and the amendments within are applied either prospectively or retrospectively. ASU 2021-01 did not have a significant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January 1, 2022 on a full modified or modified retrospective basis, with early adoption permitted. We are currently evaluating the impact of this guidance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or Exchanges of Freestanding Equity-Classified Written Call Options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 Stock Compensation (Topic 718), and Derivatives and Hedging – Contracts in an Entity’s Own Equity (Subtopic 815-40): Issuer’s Accounting For Certain Modifications or Exchanges of Freestanding Equity-Classified Written Call Options, </w:t>
      </w:r>
      <w:r>
        <w:rPr>
          <w:rFonts w:ascii="Arial" w:cs="Arial" w:eastAsia="Arial" w:hAnsi="Arial"/>
          <w:sz w:val="16"/>
          <w:szCs w:val="16"/>
          <w:color w:val="auto"/>
        </w:rPr>
        <w:t>(“ASU 2021-04”). ASU 2021-04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 and reduces diversity in an issuer’s accounting for certain modifications or exchanges of freestanding equity-classified written call options, such as warrants, that remain equity classified after modification or exchange. This guidance will be effective for us on January 1, 2022 with early adoption permitted and will be applied prospectively. We are currently evaluating the impact of this guidance on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REVENUE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183"/>
        </w:trPr>
        <w:tc>
          <w:tcPr>
            <w:tcW w:w="2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ind w:left="28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0"/>
              </w:rPr>
              <w:t>58,038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37,986</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Wholesale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0"/>
              </w:rPr>
              <w:t>39,473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8"/>
              </w:rPr>
              <w:t>17,900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97,511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55,886</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Elimination of inter-company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9"/>
              </w:rPr>
              <w:t>(14,144)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4"/>
              </w:rPr>
              <w:t>(7,910)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83,367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8"/>
              </w:rPr>
              <w:t>47,976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discounts were not material during the three and six months ended June 30, 2021 and 2020. The liability related to the loyalty program we offer dispensary customers at certain locations was $686 and $219 at June 30, 2021 or December 31, 2020, respectively, and is included in “Other current liabilities” on the accompanying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determined that the acquisitions discussed below are considered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(“ASC Topic 805”) and are accounted for by applying the acquisition method, whereby the assets acquired and the liabilities assumed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their fair values with any excess of the aggregate consideration over the fair values of the identifiable net assets allocated to goodwill. Operating results have been included in these Financial Statements from the date of the acquisition.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allocates the purchase price of each of its acquisitions to the assets acquired and liabilities assumed at fair value. 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May 5, 2021, the Company completed the acquisition of the parent company of Hemma, LLC (“Hemma”), the owner of a medical cultivation site in Ohio, for total consideration of $10,381, subject to customary working capital adjustments. Acquisition-related costs incurred during the three and six months ended June 30, 2021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allocated the purchase price of the Hemma acquisition as summarized in the table below. The purchase price allocation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acquired (liabilities assumed):</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54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Pr>
          <w:p>
            <w:pPr>
              <w:spacing w:after="0"/>
              <w:rPr>
                <w:sz w:val="19"/>
                <w:szCs w:val="19"/>
                <w:color w:val="auto"/>
              </w:rPr>
            </w:pPr>
          </w:p>
        </w:tc>
        <w:tc>
          <w:tcPr>
            <w:tcW w:w="9540" w:type="dxa"/>
            <w:vAlign w:val="bottom"/>
            <w:gridSpan w:val="2"/>
          </w:tcPr>
          <w:p>
            <w:pPr>
              <w:ind w:left="120"/>
              <w:spacing w:after="0"/>
              <w:rPr>
                <w:sz w:val="20"/>
                <w:szCs w:val="20"/>
                <w:color w:val="auto"/>
              </w:rPr>
            </w:pPr>
            <w:r>
              <w:rPr>
                <w:rFonts w:ascii="Arial" w:cs="Arial" w:eastAsia="Arial" w:hAnsi="Arial"/>
                <w:sz w:val="18"/>
                <w:szCs w:val="18"/>
                <w:color w:val="auto"/>
              </w:rPr>
              <w:t>Inventory</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20" w:type="dxa"/>
            <w:vAlign w:val="bottom"/>
          </w:tcPr>
          <w:p>
            <w:pPr>
              <w:spacing w:after="0"/>
              <w:rPr>
                <w:sz w:val="19"/>
                <w:szCs w:val="19"/>
                <w:color w:val="auto"/>
              </w:rPr>
            </w:pPr>
          </w:p>
        </w:tc>
        <w:tc>
          <w:tcPr>
            <w:tcW w:w="95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(1)</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30"/>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29"/>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assets acquired</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5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(3)</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7,212</w:t>
            </w:r>
          </w:p>
        </w:tc>
      </w:tr>
      <w:tr>
        <w:trPr>
          <w:trHeight w:val="229"/>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Settlement of note and working capital loan</w:t>
            </w:r>
            <w:r>
              <w:rPr>
                <w:rFonts w:ascii="Arial" w:cs="Arial" w:eastAsia="Arial" w:hAnsi="Arial"/>
                <w:sz w:val="23"/>
                <w:szCs w:val="23"/>
                <w:color w:val="auto"/>
                <w:vertAlign w:val="superscript"/>
              </w:rPr>
              <w:t>(4)</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20" w:type="dxa"/>
            <w:vAlign w:val="bottom"/>
          </w:tcPr>
          <w:p>
            <w:pPr>
              <w:spacing w:after="0"/>
              <w:rPr>
                <w:sz w:val="19"/>
                <w:szCs w:val="19"/>
                <w:color w:val="auto"/>
              </w:rPr>
            </w:pPr>
          </w:p>
        </w:tc>
        <w:tc>
          <w:tcPr>
            <w:tcW w:w="95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consideration</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40" w:hanging="232"/>
        <w:spacing w:after="0"/>
        <w:tabs>
          <w:tab w:leader="none" w:pos="2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amortization period for the acquired intangible assets is 10 years.</w:t>
      </w:r>
    </w:p>
    <w:p>
      <w:pPr>
        <w:spacing w:after="0" w:line="90" w:lineRule="exact"/>
        <w:rPr>
          <w:rFonts w:ascii="Arial" w:cs="Arial" w:eastAsia="Arial" w:hAnsi="Arial"/>
          <w:sz w:val="21"/>
          <w:szCs w:val="21"/>
          <w:color w:val="auto"/>
          <w:vertAlign w:val="superscript"/>
        </w:rPr>
      </w:pPr>
    </w:p>
    <w:p>
      <w:pPr>
        <w:ind w:left="340" w:hanging="332"/>
        <w:spacing w:after="0" w:line="235" w:lineRule="auto"/>
        <w:tabs>
          <w:tab w:leader="none" w:pos="284"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Goodwill is largely attributable to the value we expect to obtain from long-term business growth and buyer-specific synergies. The goodwill is not deductible for tax purposes due to the limitations imposed under Internal Revenue Code (“IRC”) Section 280E. See Note 14, “Income Taxes,” for additional information.</w:t>
      </w:r>
    </w:p>
    <w:p>
      <w:pPr>
        <w:spacing w:after="0" w:line="56" w:lineRule="exact"/>
        <w:rPr>
          <w:rFonts w:ascii="Arial" w:cs="Arial" w:eastAsia="Arial" w:hAnsi="Arial"/>
          <w:sz w:val="20"/>
          <w:szCs w:val="20"/>
          <w:color w:val="auto"/>
          <w:vertAlign w:val="superscript"/>
        </w:rPr>
      </w:pPr>
    </w:p>
    <w:p>
      <w:pPr>
        <w:ind w:left="240" w:hanging="232"/>
        <w:spacing w:after="0"/>
        <w:tabs>
          <w:tab w:leader="none" w:pos="2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cash consideration includes a $4,712 sellers’ note. See Note 11, “Debt,” for additional information.</w:t>
      </w:r>
    </w:p>
    <w:p>
      <w:pPr>
        <w:spacing w:after="0" w:line="55"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settlement of $2,500 due under a note receivable and settlement of $669 due under a working capital line of credit.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August 1, 2020, the Company acquired MOCA LLC (“MOCA”), a dispensary operator in the Chicago, Illinois area, which was consolidated as a VIE from the signing date until the final closing date in December 2020. Effective September 29, 2020, the Company’s subsidiary, Ascend New Jersey, acquired the assets and liabilities of Greenleaf Compassion Center (“GCC”), a vertically integrated operator in New Jersey with licenses for three retail locations and one cultivation and manufacturing facility. Additionally, effective December 15, 2020, the Company acquired Chicago Alternative Health Center, LLC and Chicago Alternative Health Center Holdings, LLC (together, “Midway”), a medical and adult use dispensary operator in the Chicago, Illinois area. Midway is consolidated as a VIE from the signing date through the final closing date, which is pending the state’s approval of the license transfer.</w:t>
      </w:r>
    </w:p>
    <w:p>
      <w:pPr>
        <w:spacing w:after="0" w:line="14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six months ended June 30, 2021, we recorded measurement period purchase accounting adjustments based on changes to certain estimates and assumptions and their related impact to goodwill. The MOCA license was revised from $10,661 to $9,755; the GCC license was revised from $11,845 to $11,501; the Midway license was revised from $15,108 to $14,684; and the Midway trade name was revised from $10 to $180.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Financial Information</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summarize the revenue and net income related to MOCA, GCC, Midway, and Hemma included in our consolidated results for the three and six months ended June 30,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 June 30, 2021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3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MOCA</w:t>
            </w:r>
          </w:p>
        </w:tc>
        <w:tc>
          <w:tcPr>
            <w:tcW w:w="180" w:type="dxa"/>
            <w:vAlign w:val="bottom"/>
          </w:tcPr>
          <w:p>
            <w:pPr>
              <w:spacing w:after="0"/>
              <w:rPr>
                <w:sz w:val="15"/>
                <w:szCs w:val="15"/>
                <w:color w:val="auto"/>
              </w:rPr>
            </w:pPr>
          </w:p>
        </w:tc>
        <w:tc>
          <w:tcPr>
            <w:tcW w:w="1500" w:type="dxa"/>
            <w:vAlign w:val="bottom"/>
            <w:gridSpan w:val="2"/>
          </w:tcPr>
          <w:p>
            <w:pPr>
              <w:ind w:left="400"/>
              <w:spacing w:after="0" w:line="182" w:lineRule="exact"/>
              <w:rPr>
                <w:sz w:val="20"/>
                <w:szCs w:val="20"/>
                <w:color w:val="auto"/>
              </w:rPr>
            </w:pPr>
            <w:r>
              <w:rPr>
                <w:rFonts w:ascii="Arial" w:cs="Arial" w:eastAsia="Arial" w:hAnsi="Arial"/>
                <w:sz w:val="18"/>
                <w:szCs w:val="18"/>
                <w:b w:val="1"/>
                <w:bCs w:val="1"/>
                <w:color w:val="auto"/>
              </w:rPr>
              <w:t>GCC</w:t>
            </w:r>
          </w:p>
        </w:tc>
        <w:tc>
          <w:tcPr>
            <w:tcW w:w="280" w:type="dxa"/>
            <w:vAlign w:val="bottom"/>
          </w:tcPr>
          <w:p>
            <w:pPr>
              <w:spacing w:after="0"/>
              <w:rPr>
                <w:sz w:val="15"/>
                <w:szCs w:val="15"/>
                <w:color w:val="auto"/>
              </w:rPr>
            </w:pPr>
          </w:p>
        </w:tc>
        <w:tc>
          <w:tcPr>
            <w:tcW w:w="138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Midway</w:t>
            </w:r>
          </w:p>
        </w:tc>
        <w:tc>
          <w:tcPr>
            <w:tcW w:w="280" w:type="dxa"/>
            <w:vAlign w:val="bottom"/>
          </w:tcPr>
          <w:p>
            <w:pPr>
              <w:spacing w:after="0"/>
              <w:rPr>
                <w:sz w:val="15"/>
                <w:szCs w:val="15"/>
                <w:color w:val="auto"/>
              </w:rPr>
            </w:pPr>
          </w:p>
        </w:tc>
        <w:tc>
          <w:tcPr>
            <w:tcW w:w="12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Hemma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 2021</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3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MOCA</w:t>
            </w:r>
          </w:p>
        </w:tc>
        <w:tc>
          <w:tcPr>
            <w:tcW w:w="240" w:type="dxa"/>
            <w:vAlign w:val="bottom"/>
          </w:tcPr>
          <w:p>
            <w:pPr>
              <w:spacing w:after="0"/>
              <w:rPr>
                <w:sz w:val="15"/>
                <w:szCs w:val="15"/>
                <w:color w:val="auto"/>
              </w:rPr>
            </w:pPr>
          </w:p>
        </w:tc>
        <w:tc>
          <w:tcPr>
            <w:tcW w:w="144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GCC</w:t>
            </w:r>
          </w:p>
        </w:tc>
        <w:tc>
          <w:tcPr>
            <w:tcW w:w="280" w:type="dxa"/>
            <w:vAlign w:val="bottom"/>
          </w:tcPr>
          <w:p>
            <w:pPr>
              <w:spacing w:after="0"/>
              <w:rPr>
                <w:sz w:val="15"/>
                <w:szCs w:val="15"/>
                <w:color w:val="auto"/>
              </w:rPr>
            </w:pPr>
          </w:p>
        </w:tc>
        <w:tc>
          <w:tcPr>
            <w:tcW w:w="138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Midway</w:t>
            </w:r>
          </w:p>
        </w:tc>
        <w:tc>
          <w:tcPr>
            <w:tcW w:w="280" w:type="dxa"/>
            <w:vAlign w:val="bottom"/>
          </w:tcPr>
          <w:p>
            <w:pPr>
              <w:spacing w:after="0"/>
              <w:rPr>
                <w:sz w:val="15"/>
                <w:szCs w:val="15"/>
                <w:color w:val="auto"/>
              </w:rPr>
            </w:pPr>
          </w:p>
        </w:tc>
        <w:tc>
          <w:tcPr>
            <w:tcW w:w="12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Hemma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tables below summarize the unaudited pro forma combined revenue and net income (loss) of AWH, MOCA, GCC, and Midway for the three and six months ended June 30, 2020 as if the respective acquisitions had occurred on January 1, 2019. These results do not reflect the cost of integration activities or benefits from expected revenue enhancements and synergies. Accordingly, the unaudited pro forma information is not necessarily indicative of the results that would have been achieved if the acquisitions had been effective on January 1, 2019. Pro forma financial information is not presented for Hemma, as such results are immaterial to both the current and prior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0"/>
              </w:rPr>
              <w:t>Three Months Ended June 30, 2020</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rPr>
              <w:t>AWH</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MOCA</w:t>
            </w:r>
          </w:p>
        </w:tc>
        <w:tc>
          <w:tcPr>
            <w:tcW w:w="140" w:type="dxa"/>
            <w:vAlign w:val="bottom"/>
          </w:tcPr>
          <w:p>
            <w:pPr>
              <w:spacing w:after="0"/>
              <w:rPr>
                <w:sz w:val="14"/>
                <w:szCs w:val="14"/>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GCC</w:t>
            </w:r>
          </w:p>
        </w:tc>
        <w:tc>
          <w:tcPr>
            <w:tcW w:w="2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Midway</w:t>
            </w:r>
          </w:p>
        </w:tc>
        <w:tc>
          <w:tcPr>
            <w:tcW w:w="200" w:type="dxa"/>
            <w:vAlign w:val="bottom"/>
          </w:tcPr>
          <w:p>
            <w:pPr>
              <w:spacing w:after="0"/>
              <w:rPr>
                <w:sz w:val="14"/>
                <w:szCs w:val="14"/>
                <w:color w:val="auto"/>
              </w:rPr>
            </w:pPr>
          </w:p>
        </w:tc>
        <w:tc>
          <w:tcPr>
            <w:tcW w:w="1820" w:type="dxa"/>
            <w:vAlign w:val="bottom"/>
            <w:gridSpan w:val="3"/>
          </w:tcPr>
          <w:p>
            <w:pPr>
              <w:jc w:val="center"/>
              <w:ind w:right="450"/>
              <w:spacing w:after="0" w:line="169" w:lineRule="exact"/>
              <w:rPr>
                <w:sz w:val="20"/>
                <w:szCs w:val="20"/>
                <w:color w:val="auto"/>
              </w:rPr>
            </w:pPr>
            <w:r>
              <w:rPr>
                <w:rFonts w:ascii="Arial" w:cs="Arial" w:eastAsia="Arial" w:hAnsi="Arial"/>
                <w:sz w:val="18"/>
                <w:szCs w:val="18"/>
                <w:b w:val="1"/>
                <w:bCs w:val="1"/>
                <w:color w:val="auto"/>
                <w:w w:val="93"/>
              </w:rPr>
              <w:t>Pro Forma</w:t>
            </w:r>
          </w:p>
        </w:tc>
        <w:tc>
          <w:tcPr>
            <w:tcW w:w="1220" w:type="dxa"/>
            <w:vAlign w:val="bottom"/>
          </w:tcPr>
          <w:p>
            <w:pPr>
              <w:ind w:left="80"/>
              <w:spacing w:after="0" w:line="169" w:lineRule="exact"/>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9"/>
              </w:rPr>
              <w:t>(as reported)</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450"/>
              <w:spacing w:after="0" w:line="189" w:lineRule="exact"/>
              <w:rPr>
                <w:sz w:val="20"/>
                <w:szCs w:val="20"/>
                <w:color w:val="auto"/>
              </w:rPr>
            </w:pPr>
            <w:r>
              <w:rPr>
                <w:rFonts w:ascii="Arial" w:cs="Arial" w:eastAsia="Arial" w:hAnsi="Arial"/>
                <w:sz w:val="17"/>
                <w:szCs w:val="17"/>
                <w:b w:val="1"/>
                <w:bCs w:val="1"/>
                <w:color w:val="auto"/>
                <w:w w:val="93"/>
              </w:rPr>
              <w:t>Adjustments</w:t>
            </w:r>
            <w:r>
              <w:rPr>
                <w:rFonts w:ascii="Arial" w:cs="Arial" w:eastAsia="Arial" w:hAnsi="Arial"/>
                <w:sz w:val="21"/>
                <w:szCs w:val="21"/>
                <w:b w:val="1"/>
                <w:bCs w:val="1"/>
                <w:color w:val="auto"/>
                <w:w w:val="93"/>
                <w:vertAlign w:val="superscript"/>
              </w:rPr>
              <w:t>(1)</w:t>
            </w:r>
          </w:p>
        </w:tc>
        <w:tc>
          <w:tcPr>
            <w:tcW w:w="122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25,384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32,155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w w:val="91"/>
              </w:rPr>
              <w:t>(4,305)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ind w:left="660"/>
              <w:spacing w:after="0"/>
              <w:rPr>
                <w:sz w:val="20"/>
                <w:szCs w:val="20"/>
                <w:color w:val="auto"/>
              </w:rPr>
            </w:pPr>
            <w:r>
              <w:rPr>
                <w:rFonts w:ascii="Arial" w:cs="Arial" w:eastAsia="Arial" w:hAnsi="Arial"/>
                <w:sz w:val="18"/>
                <w:szCs w:val="18"/>
                <w:color w:val="auto"/>
                <w:w w:val="94"/>
              </w:rPr>
              <w:t>(6,067)</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320" w:hanging="323"/>
        <w:spacing w:after="0" w:line="253" w:lineRule="auto"/>
        <w:tabs>
          <w:tab w:leader="none" w:pos="300" w:val="left"/>
        </w:tabs>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b/>
        <w:t>These adjustments include estimated additional amortization expense of $899 on intangible assets acquired as part of the acquisitions as follows: $244 related to MOCA, $288 related to GCC, and $367 related to Midway. These adjustments also include additional estimated interest expense of $2,534 and an adjustment to exclude $62 of acquisition-related costs incurred during the three months ended June 30, 2020, which are included in “General and administrative expenses” in the accompanying unaudited Condensed Consolidated Statements of Operations. These adjustments are not tax-effected, as the related expenses are not deductible for tax purposes due to the limitations imposed on marijuana dispensaries under IRC Section 280E.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 June 30, 2020</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rPr>
              <w:t>AWH</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MOCA</w:t>
            </w:r>
          </w:p>
        </w:tc>
        <w:tc>
          <w:tcPr>
            <w:tcW w:w="200" w:type="dxa"/>
            <w:vAlign w:val="bottom"/>
          </w:tcPr>
          <w:p>
            <w:pPr>
              <w:spacing w:after="0"/>
              <w:rPr>
                <w:sz w:val="14"/>
                <w:szCs w:val="14"/>
                <w:color w:val="auto"/>
              </w:rPr>
            </w:pPr>
          </w:p>
        </w:tc>
        <w:tc>
          <w:tcPr>
            <w:tcW w:w="12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GCC</w:t>
            </w:r>
          </w:p>
        </w:tc>
        <w:tc>
          <w:tcPr>
            <w:tcW w:w="2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Midway</w:t>
            </w:r>
          </w:p>
        </w:tc>
        <w:tc>
          <w:tcPr>
            <w:tcW w:w="200" w:type="dxa"/>
            <w:vAlign w:val="bottom"/>
          </w:tcPr>
          <w:p>
            <w:pPr>
              <w:spacing w:after="0"/>
              <w:rPr>
                <w:sz w:val="14"/>
                <w:szCs w:val="14"/>
                <w:color w:val="auto"/>
              </w:rPr>
            </w:pPr>
          </w:p>
        </w:tc>
        <w:tc>
          <w:tcPr>
            <w:tcW w:w="1820" w:type="dxa"/>
            <w:vAlign w:val="bottom"/>
            <w:gridSpan w:val="3"/>
          </w:tcPr>
          <w:p>
            <w:pPr>
              <w:jc w:val="center"/>
              <w:ind w:right="450"/>
              <w:spacing w:after="0" w:line="169" w:lineRule="exact"/>
              <w:rPr>
                <w:sz w:val="20"/>
                <w:szCs w:val="20"/>
                <w:color w:val="auto"/>
              </w:rPr>
            </w:pPr>
            <w:r>
              <w:rPr>
                <w:rFonts w:ascii="Arial" w:cs="Arial" w:eastAsia="Arial" w:hAnsi="Arial"/>
                <w:sz w:val="18"/>
                <w:szCs w:val="18"/>
                <w:b w:val="1"/>
                <w:bCs w:val="1"/>
                <w:color w:val="auto"/>
                <w:w w:val="93"/>
              </w:rPr>
              <w:t>Pro Forma</w:t>
            </w:r>
          </w:p>
        </w:tc>
        <w:tc>
          <w:tcPr>
            <w:tcW w:w="1220" w:type="dxa"/>
            <w:vAlign w:val="bottom"/>
          </w:tcPr>
          <w:p>
            <w:pPr>
              <w:ind w:left="80"/>
              <w:spacing w:after="0" w:line="169" w:lineRule="exact"/>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9"/>
              </w:rPr>
              <w:t>(as reported)</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450"/>
              <w:spacing w:after="0" w:line="189" w:lineRule="exact"/>
              <w:rPr>
                <w:sz w:val="20"/>
                <w:szCs w:val="20"/>
                <w:color w:val="auto"/>
              </w:rPr>
            </w:pPr>
            <w:r>
              <w:rPr>
                <w:rFonts w:ascii="Arial" w:cs="Arial" w:eastAsia="Arial" w:hAnsi="Arial"/>
                <w:sz w:val="17"/>
                <w:szCs w:val="17"/>
                <w:b w:val="1"/>
                <w:bCs w:val="1"/>
                <w:color w:val="auto"/>
                <w:w w:val="93"/>
              </w:rPr>
              <w:t>Adjustments</w:t>
            </w:r>
            <w:r>
              <w:rPr>
                <w:rFonts w:ascii="Arial" w:cs="Arial" w:eastAsia="Arial" w:hAnsi="Arial"/>
                <w:sz w:val="21"/>
                <w:szCs w:val="21"/>
                <w:b w:val="1"/>
                <w:bCs w:val="1"/>
                <w:color w:val="auto"/>
                <w:w w:val="93"/>
                <w:vertAlign w:val="superscript"/>
              </w:rPr>
              <w:t>(1)</w:t>
            </w:r>
          </w:p>
        </w:tc>
        <w:tc>
          <w:tcPr>
            <w:tcW w:w="122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320" w:hanging="323"/>
        <w:spacing w:after="0" w:line="253" w:lineRule="auto"/>
        <w:tabs>
          <w:tab w:leader="none" w:pos="300" w:val="left"/>
        </w:tabs>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b/>
        <w:t>These adjustments include estimated additional amortization expense of $1,797 on intangible assets acquired as part of the acquisitions as follows: $488 related to MOCA, $575 related to GCC, and $734 related to Midway. These adjustments also include additional estimated interest expense of $5,069 and an adjustment to exclude $72 of acquisition-related costs incurred during the six months ended June 30, 2020, which are included in “General and administrative expenses” in the accompanying unaudited Condensed Consolidated Statements of Operations. These adjustments are not tax-effected, as the related expenses are not deductible for tax purposes due to the limitations imposed on marijuana dispensaries under IRC Section 280E.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80" w:type="dxa"/>
            <w:vAlign w:val="bottom"/>
            <w:gridSpan w:val="2"/>
          </w:tcPr>
          <w:p>
            <w:pPr>
              <w:ind w:left="640"/>
              <w:spacing w:after="0"/>
              <w:rPr>
                <w:sz w:val="20"/>
                <w:szCs w:val="20"/>
                <w:color w:val="auto"/>
              </w:rPr>
            </w:pPr>
            <w:r>
              <w:rPr>
                <w:rFonts w:ascii="Arial" w:cs="Arial" w:eastAsia="Arial" w:hAnsi="Arial"/>
                <w:sz w:val="18"/>
                <w:szCs w:val="18"/>
                <w:color w:val="auto"/>
              </w:rPr>
              <w:t>The components of inventory are as follows:</w:t>
            </w: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24"/>
                <w:szCs w:val="24"/>
                <w:color w:val="auto"/>
              </w:rPr>
            </w:pPr>
          </w:p>
        </w:tc>
        <w:tc>
          <w:tcPr>
            <w:tcW w:w="206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16,788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13,615</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compensation expense capitalized to inventory was $8,157 and $3,201 during the three months ended June 30, 2021 and 2020, respectively, and $14,520 and $6,599 during the six months ended June 30, 2021 and 2020, respectively. At June 30, 2021 and December 31, 2020, $7,055 and $5,909, respectively, of compensation expense remained capitalized as part of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2021, in conjunction with an investment agreement, the Company entered into a working capital advance agreement with MedMen NY, Inc. (“MMNY”), an unrelated third party, under which $1,172 is outstanding as of June 30, 2021. The working capital advance agreement allows for initial maximum borrowings of up to $10,000, which may be increased to $17,500, and was issued to provide MMNY with additional funding for operations in conjunction with an investment agreement the parties entered into (see Note 15, “Commitments and Contingencies” for additional information on the investment agreement). Borrowings do not bear interest, but may be subject to a financing fee. The outstanding balance is due and payable at the earlier of the initial closing of the investment agreement or, if the investment agreement is terminated, three business days following such termination.</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discussed in Note 4, “Acquisitions,” the Company settled a total of $3,169 due under the Hemma note receivable and working capital loan agreement as part of consideration upon the closing of the acquisition.</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a total of $4,413 is outstanding at June 30, 2021 related to a promissory note issued to the owner of a property the Company is renting, of which $153 and $4,260 is included in “Other current assets” and “Other noncurrent assets,” respectively, on the unaudited Condensed Consolidated Balance Sheet. At December 31, 2020, $4,473 was outstanding, of which $151 and $4,322 is included in “Other current assets” and “Other noncurrent assets,” respectively, on the unaudited Condensed Consolidated Balance Sheet.</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not identified any collectability concerns as of June 30, 2021 for the amounts due under notes receivable. No impairment losses on notes receivable were recognized during the six months ended June 30, 2021 or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80" w:type="dxa"/>
            <w:vAlign w:val="bottom"/>
            <w:gridSpan w:val="2"/>
          </w:tcPr>
          <w:p>
            <w:pPr>
              <w:ind w:left="640"/>
              <w:spacing w:after="0"/>
              <w:rPr>
                <w:sz w:val="20"/>
                <w:szCs w:val="20"/>
                <w:color w:val="auto"/>
              </w:rPr>
            </w:pPr>
            <w:r>
              <w:rPr>
                <w:rFonts w:ascii="Arial" w:cs="Arial" w:eastAsia="Arial" w:hAnsi="Arial"/>
                <w:sz w:val="18"/>
                <w:szCs w:val="18"/>
                <w:color w:val="auto"/>
              </w:rPr>
              <w:t>Property and equipment and related depreciation consist of the following:</w:t>
            </w: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24"/>
                <w:szCs w:val="24"/>
                <w:color w:val="auto"/>
              </w:rPr>
            </w:pPr>
          </w:p>
        </w:tc>
        <w:tc>
          <w:tcPr>
            <w:tcW w:w="206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33,931</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42,486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38,561</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32,983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25,139</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gross</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195,486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127,079</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182,486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120,540</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Total depreciation expense was $3,509 and $1,053 during the three months ended June 30, 2021 and 2020, respectively, and $6,461 and $2,037 during the six months ended June 30, 2021 and 2020, respectively. Total depreciation expense capitalized to inventory was $2,378 and $946 during the three months ended June 30, 2021 and 2020, respectively, and $4,334 and $1,841 during the six months ended June 30, 2021 and 2020, respectively. At June 30, 2021 and December 31, 2020, $2,002 and $602, respectively, of depreciation expense remained capitalized as part of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tables present the summarized financial information about the Company’s consolidated VIEs which are included in the unaudited Condensed Consolidated Balance Sheets as of June 30, 2021 and December 31, 2020 and unaudited Condensed Consolidated Statements of Operations for the three and six months ended June 30, 2021 and 2020. These entities were determined to be VIEs since the Company possesses the power to direct the significant activities of the VIEs and has the obligation to absorb losses or the right to receive benefits from the VIE.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2020</w:t>
            </w:r>
          </w:p>
        </w:tc>
        <w:tc>
          <w:tcPr>
            <w:tcW w:w="7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Ascend Illinois</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Ascend Illinois</w:t>
            </w:r>
          </w:p>
        </w:tc>
        <w:tc>
          <w:tcPr>
            <w:tcW w:w="14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91"/>
              </w:rPr>
              <w:t>Ascend Michigan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162,954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151,449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58,516</w:t>
            </w:r>
          </w:p>
        </w:tc>
      </w:tr>
      <w:tr>
        <w:trPr>
          <w:trHeight w:val="229"/>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29"/>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127,944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134,792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37,809</w:t>
            </w:r>
          </w:p>
        </w:tc>
      </w:tr>
      <w:tr>
        <w:trPr>
          <w:trHeight w:val="230"/>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(deficit) attributable to AWH</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(23,822)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interests</w:t>
      </w:r>
      <w:r>
        <w:rPr>
          <w:rFonts w:ascii="Arial" w:cs="Arial" w:eastAsia="Arial" w:hAnsi="Arial"/>
          <w:sz w:val="20"/>
          <w:szCs w:val="20"/>
          <w:color w:val="auto"/>
          <w:vertAlign w:val="superscript"/>
        </w:rPr>
        <w:t>(1)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AWH</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(loss)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17"/>
                <w:szCs w:val="17"/>
                <w:color w:val="auto"/>
              </w:rPr>
            </w:pPr>
          </w:p>
        </w:tc>
        <w:tc>
          <w:tcPr>
            <w:tcW w:w="28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21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Ascend Illinois</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Ascend Illinois</w:t>
            </w:r>
          </w:p>
        </w:tc>
        <w:tc>
          <w:tcPr>
            <w:tcW w:w="20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Ascend</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90"/>
              <w:spacing w:after="0" w:line="230" w:lineRule="exact"/>
              <w:rPr>
                <w:sz w:val="20"/>
                <w:szCs w:val="20"/>
                <w:color w:val="auto"/>
              </w:rPr>
            </w:pPr>
            <w:r>
              <w:rPr>
                <w:rFonts w:ascii="Arial" w:cs="Arial" w:eastAsia="Arial" w:hAnsi="Arial"/>
                <w:sz w:val="18"/>
                <w:szCs w:val="18"/>
                <w:b w:val="1"/>
                <w:bCs w:val="1"/>
                <w:color w:val="auto"/>
                <w:w w:val="97"/>
              </w:rPr>
              <w:t>Michigan</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2"/>
        </w:trPr>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68,083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-633730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-334010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18"/>
                <w:szCs w:val="18"/>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Ascend Illinois</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Ascend Illinois</w:t>
            </w:r>
          </w:p>
        </w:tc>
        <w:tc>
          <w:tcPr>
            <w:tcW w:w="200" w:type="dxa"/>
            <w:vAlign w:val="bottom"/>
          </w:tcPr>
          <w:p>
            <w:pPr>
              <w:spacing w:after="0"/>
              <w:rPr>
                <w:sz w:val="14"/>
                <w:szCs w:val="14"/>
                <w:color w:val="auto"/>
              </w:rPr>
            </w:pPr>
          </w:p>
        </w:tc>
        <w:tc>
          <w:tcPr>
            <w:tcW w:w="1240" w:type="dxa"/>
            <w:vAlign w:val="bottom"/>
          </w:tcPr>
          <w:p>
            <w:pPr>
              <w:jc w:val="right"/>
              <w:ind w:right="351"/>
              <w:spacing w:after="0" w:line="169" w:lineRule="exact"/>
              <w:rPr>
                <w:sz w:val="20"/>
                <w:szCs w:val="20"/>
                <w:color w:val="auto"/>
              </w:rPr>
            </w:pPr>
            <w:r>
              <w:rPr>
                <w:rFonts w:ascii="Arial" w:cs="Arial" w:eastAsia="Arial" w:hAnsi="Arial"/>
                <w:sz w:val="18"/>
                <w:szCs w:val="18"/>
                <w:b w:val="1"/>
                <w:bCs w:val="1"/>
                <w:color w:val="auto"/>
              </w:rPr>
              <w:t>Ascend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1"/>
              <w:spacing w:after="0" w:line="189" w:lineRule="exact"/>
              <w:rPr>
                <w:sz w:val="20"/>
                <w:szCs w:val="20"/>
                <w:color w:val="auto"/>
              </w:rPr>
            </w:pPr>
            <w:r>
              <w:rPr>
                <w:rFonts w:ascii="Arial" w:cs="Arial" w:eastAsia="Arial" w:hAnsi="Arial"/>
                <w:sz w:val="17"/>
                <w:szCs w:val="17"/>
                <w:b w:val="1"/>
                <w:bCs w:val="1"/>
                <w:color w:val="auto"/>
              </w:rPr>
              <w:t>Michigan</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line="230" w:lineRule="exact"/>
              <w:rPr>
                <w:sz w:val="20"/>
                <w:szCs w:val="20"/>
                <w:color w:val="auto"/>
              </w:rPr>
            </w:pPr>
            <w:r>
              <w:rPr>
                <w:rFonts w:ascii="Arial" w:cs="Arial" w:eastAsia="Arial" w:hAnsi="Arial"/>
                <w:sz w:val="18"/>
                <w:szCs w:val="18"/>
                <w:color w:val="auto"/>
              </w:rPr>
              <w:t>Net income attributable to non-controlling interests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AWH</w:t>
            </w: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hanging="332"/>
        <w:spacing w:after="0" w:line="223"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Effective July 30, 2020, the Company purchased the non-controlling interests of Ascend Illinois; therefore, there are no non-controlling interests as of and for the three and six months ended June 30, 2021.</w:t>
      </w:r>
    </w:p>
    <w:p>
      <w:pPr>
        <w:spacing w:after="0" w:line="90" w:lineRule="exact"/>
        <w:rPr>
          <w:rFonts w:ascii="Arial" w:cs="Arial" w:eastAsia="Arial" w:hAnsi="Arial"/>
          <w:sz w:val="21"/>
          <w:szCs w:val="21"/>
          <w:color w:val="auto"/>
          <w:vertAlign w:val="superscript"/>
        </w:rPr>
      </w:pPr>
    </w:p>
    <w:p>
      <w:pPr>
        <w:ind w:left="340" w:right="20" w:hanging="332"/>
        <w:spacing w:after="0" w:line="223"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 December 2020, the sole member of FPAW Michigan 2, Inc. (“Ascend Michigan”) assigned his interests to AWH, thereby making AWH the majority member, retaining 99.9% of the membership interests in Ascend Michigan. Following this assignment, Ascend Michigan is no longer considered 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680" w:firstLine="8"/>
        <w:spacing w:after="0" w:line="493"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2060" w:type="dxa"/>
            <w:vAlign w:val="bottom"/>
            <w:gridSpan w:val="2"/>
          </w:tcPr>
          <w:p>
            <w:pPr>
              <w:ind w:left="260"/>
              <w:spacing w:after="0" w:line="194" w:lineRule="exact"/>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16"/>
                <w:szCs w:val="16"/>
                <w:color w:val="auto"/>
              </w:rPr>
            </w:pPr>
          </w:p>
        </w:tc>
        <w:tc>
          <w:tcPr>
            <w:tcW w:w="204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Licenses and permits</w:t>
            </w:r>
            <w:r>
              <w:rPr>
                <w:rFonts w:ascii="Arial" w:cs="Arial" w:eastAsia="Arial" w:hAnsi="Arial"/>
                <w:sz w:val="23"/>
                <w:szCs w:val="23"/>
                <w:color w:val="auto"/>
                <w:vertAlign w:val="superscript"/>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45,142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39,888</w:t>
            </w: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In-place leases</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r>
      <w:tr>
        <w:trPr>
          <w:trHeight w:val="229"/>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Trade names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09"/>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Licenses and permits</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2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In-place leases</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(8,362)</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names</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30" w:lineRule="auto"/>
        <w:tabs>
          <w:tab w:leader="none" w:pos="34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During the six months ended June 30, 2021, we recorded measurement period purchase accounting adjustments related to our 2020 acquisitions based on changes to certain estimates and assumptions and their related impact to goodwill. Additionally, during the three months ended June 30, 2021 we recorded $6,928 related to the Hemma acquisition. See Note 4, “Acquisitions,” for additional information.</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Amortization expense was $1,687 and $1,866 during the three </w:t>
      </w:r>
      <w:r>
        <w:rPr>
          <w:rFonts w:ascii="Arial" w:cs="Arial" w:eastAsia="Arial" w:hAnsi="Arial"/>
          <w:sz w:val="17"/>
          <w:szCs w:val="17"/>
          <w:color w:val="070707"/>
        </w:rPr>
        <w:t>months ended June 30, 2021 and 2020, respectively, and</w:t>
      </w:r>
      <w:r>
        <w:rPr>
          <w:rFonts w:ascii="Arial" w:cs="Arial" w:eastAsia="Arial" w:hAnsi="Arial"/>
          <w:sz w:val="17"/>
          <w:szCs w:val="17"/>
          <w:color w:val="auto"/>
        </w:rPr>
        <w:t xml:space="preserve"> $3,372 and $3,745 during the six </w:t>
      </w:r>
      <w:r>
        <w:rPr>
          <w:rFonts w:ascii="Arial" w:cs="Arial" w:eastAsia="Arial" w:hAnsi="Arial"/>
          <w:sz w:val="17"/>
          <w:szCs w:val="17"/>
          <w:color w:val="070707"/>
        </w:rPr>
        <w:t>months ended June 30, 2021 and 2020, respectively. Total amortization expense capitalized to inventory was $348 and $4 during</w:t>
      </w:r>
      <w:r>
        <w:rPr>
          <w:rFonts w:ascii="Arial" w:cs="Arial" w:eastAsia="Arial" w:hAnsi="Arial"/>
          <w:sz w:val="17"/>
          <w:szCs w:val="17"/>
          <w:color w:val="auto"/>
        </w:rPr>
        <w:t xml:space="preserve"> three </w:t>
      </w:r>
      <w:r>
        <w:rPr>
          <w:rFonts w:ascii="Arial" w:cs="Arial" w:eastAsia="Arial" w:hAnsi="Arial"/>
          <w:sz w:val="17"/>
          <w:szCs w:val="17"/>
          <w:color w:val="070707"/>
        </w:rPr>
        <w:t>months</w:t>
      </w:r>
      <w:r>
        <w:rPr>
          <w:rFonts w:ascii="Arial" w:cs="Arial" w:eastAsia="Arial" w:hAnsi="Arial"/>
          <w:sz w:val="17"/>
          <w:szCs w:val="17"/>
          <w:color w:val="auto"/>
        </w:rPr>
        <w:t xml:space="preserve"> </w:t>
      </w:r>
      <w:r>
        <w:rPr>
          <w:rFonts w:ascii="Arial" w:cs="Arial" w:eastAsia="Arial" w:hAnsi="Arial"/>
          <w:sz w:val="17"/>
          <w:szCs w:val="17"/>
          <w:color w:val="070707"/>
        </w:rPr>
        <w:t xml:space="preserve">ended June 30, 2021 and 2020, respectively, and $610 and $21 during </w:t>
      </w:r>
      <w:r>
        <w:rPr>
          <w:rFonts w:ascii="Arial" w:cs="Arial" w:eastAsia="Arial" w:hAnsi="Arial"/>
          <w:sz w:val="17"/>
          <w:szCs w:val="17"/>
          <w:color w:val="000000"/>
        </w:rPr>
        <w:t>the six</w:t>
      </w:r>
      <w:r>
        <w:rPr>
          <w:rFonts w:ascii="Arial" w:cs="Arial" w:eastAsia="Arial" w:hAnsi="Arial"/>
          <w:sz w:val="17"/>
          <w:szCs w:val="17"/>
          <w:color w:val="070707"/>
        </w:rPr>
        <w:t xml:space="preserve"> months ended June 30, 2021 and 2020, respectively. </w:t>
      </w:r>
      <w:r>
        <w:rPr>
          <w:rFonts w:ascii="Arial" w:cs="Arial" w:eastAsia="Arial" w:hAnsi="Arial"/>
          <w:sz w:val="17"/>
          <w:szCs w:val="17"/>
          <w:color w:val="000000"/>
        </w:rPr>
        <w:t>At June 30, 2021 and</w:t>
      </w:r>
      <w:r>
        <w:rPr>
          <w:rFonts w:ascii="Arial" w:cs="Arial" w:eastAsia="Arial" w:hAnsi="Arial"/>
          <w:sz w:val="17"/>
          <w:szCs w:val="17"/>
          <w:color w:val="070707"/>
        </w:rPr>
        <w:t xml:space="preserve"> </w:t>
      </w:r>
      <w:r>
        <w:rPr>
          <w:rFonts w:ascii="Arial" w:cs="Arial" w:eastAsia="Arial" w:hAnsi="Arial"/>
          <w:sz w:val="17"/>
          <w:szCs w:val="17"/>
          <w:color w:val="000000"/>
        </w:rPr>
        <w:t>December 31, 2020, $472 and $564, respectively, of amortization expense remained capitalized as part of inventory.</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70707"/>
        </w:rPr>
        <w:t xml:space="preserve">No impairment indicators were noted during the </w:t>
      </w:r>
      <w:r>
        <w:rPr>
          <w:rFonts w:ascii="Arial" w:cs="Arial" w:eastAsia="Arial" w:hAnsi="Arial"/>
          <w:sz w:val="18"/>
          <w:szCs w:val="18"/>
          <w:color w:val="000000"/>
        </w:rPr>
        <w:t>six</w:t>
      </w:r>
      <w:r>
        <w:rPr>
          <w:rFonts w:ascii="Arial" w:cs="Arial" w:eastAsia="Arial" w:hAnsi="Arial"/>
          <w:sz w:val="18"/>
          <w:szCs w:val="18"/>
          <w:color w:val="070707"/>
        </w:rPr>
        <w:t xml:space="preserve"> months ended June 30, 2021 or 2020 and, as such, w</w:t>
      </w:r>
      <w:r>
        <w:rPr>
          <w:rFonts w:ascii="Arial" w:cs="Arial" w:eastAsia="Arial" w:hAnsi="Arial"/>
          <w:sz w:val="18"/>
          <w:szCs w:val="18"/>
          <w:color w:val="000000"/>
        </w:rPr>
        <w:t>e did not record any impairment charges</w:t>
      </w:r>
      <w:r>
        <w:rPr>
          <w:rFonts w:ascii="Arial" w:cs="Arial" w:eastAsia="Arial" w:hAnsi="Arial"/>
          <w:sz w:val="18"/>
          <w:szCs w:val="18"/>
          <w:color w:val="070707"/>
        </w:rPr>
        <w:t xml:space="preserve"> </w:t>
      </w:r>
      <w:r>
        <w:rPr>
          <w:rFonts w:ascii="Arial" w:cs="Arial" w:eastAsia="Arial" w:hAnsi="Arial"/>
          <w:sz w:val="18"/>
          <w:szCs w:val="18"/>
          <w:color w:val="000000"/>
        </w:rPr>
        <w:t>during either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w:t>
            </w:r>
          </w:p>
        </w:tc>
      </w:tr>
      <w:tr>
        <w:trPr>
          <w:trHeight w:val="230"/>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9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2021</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leases land, buildings, equipment, and other capital assets which it plans to use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economic environment. This incremental borrowing rate is applied to the minimum lease payments within each lease agreement to determine the amounts of our ROU assets and lease liabilities.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assets and lease liabilities and their classification on our unaudited Condensed Consolidated Balance Sheets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00" w:type="dxa"/>
            <w:vAlign w:val="bottom"/>
            <w:gridSpan w:val="2"/>
          </w:tcPr>
          <w:p>
            <w:pPr>
              <w:ind w:left="1380"/>
              <w:spacing w:after="0"/>
              <w:rPr>
                <w:sz w:val="20"/>
                <w:szCs w:val="20"/>
                <w:color w:val="auto"/>
              </w:rPr>
            </w:pPr>
            <w:r>
              <w:rPr>
                <w:rFonts w:ascii="Arial" w:cs="Arial" w:eastAsia="Arial" w:hAnsi="Arial"/>
                <w:sz w:val="18"/>
                <w:szCs w:val="18"/>
                <w:b w:val="1"/>
                <w:bCs w:val="1"/>
                <w:color w:val="auto"/>
              </w:rPr>
              <w:t>Classification</w:t>
            </w:r>
          </w:p>
        </w:tc>
        <w:tc>
          <w:tcPr>
            <w:tcW w:w="380" w:type="dxa"/>
            <w:vAlign w:val="bottom"/>
          </w:tcPr>
          <w:p>
            <w:pPr>
              <w:spacing w:after="0"/>
              <w:rPr>
                <w:sz w:val="17"/>
                <w:szCs w:val="17"/>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17"/>
                <w:szCs w:val="17"/>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assets</w:t>
            </w: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101,731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84,642</w:t>
            </w:r>
          </w:p>
        </w:tc>
      </w:tr>
      <w:tr>
        <w:trPr>
          <w:trHeight w:val="216"/>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current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 leases</w:t>
            </w:r>
          </w:p>
        </w:tc>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components of lease costs and classification within the unaudited Condensed Consolidated Statements of Operations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costs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Capitalized to inventory</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0"/>
                <w:szCs w:val="20"/>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costs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2021 and December 31, 2020, $3,608 and $4,913,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0"/>
              <w:spacing w:after="0" w:line="182" w:lineRule="exact"/>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short-term and variable lease costs</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income generated during the three and six months ended June 30, 2021 and 2020 was immaterial.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our leases:</w:t>
      </w:r>
    </w:p>
    <w:p>
      <w:pPr>
        <w:spacing w:after="0" w:line="208"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10,568</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5,038</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64,757</w:t>
            </w:r>
          </w:p>
        </w:tc>
      </w:tr>
    </w:tbl>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remaining lease term for our operating leases is 16.4 years and 17.3 years at June 30, 2021 and December 31, 2020, respectively, and the weighted average discount rate is 13.2% and 13.1% at June 30, 2021 and December 31, 2020, respectively.</w:t>
      </w:r>
    </w:p>
    <w:p>
      <w:pPr>
        <w:spacing w:after="0" w:line="11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unaudited Condensed Consolidated Balance Sheet as of June 30,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Operating Lease</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b w:val="1"/>
                <w:bCs w:val="1"/>
                <w:color w:val="auto"/>
              </w:rPr>
              <w:t>Liabilities</w:t>
            </w:r>
          </w:p>
        </w:tc>
      </w:tr>
      <w:tr>
        <w:trPr>
          <w:trHeight w:val="157"/>
        </w:trPr>
        <w:tc>
          <w:tcPr>
            <w:tcW w:w="20" w:type="dxa"/>
            <w:vAlign w:val="bottom"/>
          </w:tcPr>
          <w:p>
            <w:pPr>
              <w:spacing w:after="0"/>
              <w:rPr>
                <w:sz w:val="13"/>
                <w:szCs w:val="13"/>
                <w:color w:val="auto"/>
              </w:rPr>
            </w:pPr>
          </w:p>
        </w:tc>
        <w:tc>
          <w:tcPr>
            <w:tcW w:w="9280" w:type="dxa"/>
            <w:vAlign w:val="bottom"/>
            <w:gridSpan w:val="2"/>
          </w:tcPr>
          <w:p>
            <w:pPr>
              <w:spacing w:after="0" w:line="157" w:lineRule="exact"/>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23,923</w:t>
            </w:r>
          </w:p>
        </w:tc>
      </w:tr>
      <w:tr>
        <w:trPr>
          <w:trHeight w:val="230"/>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25,301</w:t>
            </w:r>
          </w:p>
        </w:tc>
      </w:tr>
      <w:tr>
        <w:trPr>
          <w:trHeight w:val="230"/>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26,032</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343,309</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454,756</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we have entered into operating lease arrangements which are effective for future periods. The total amount of ROU lease assets and lease liabilities related to these arrangements is approximately $1,100.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Remainder of</w:t>
            </w:r>
          </w:p>
        </w:tc>
        <w:tc>
          <w:tcPr>
            <w:tcW w:w="28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9"/>
              </w:rPr>
              <w:t>Cash payments due under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liabilities</w:t>
            </w: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29, 2021, a wholly owned subsidiary of the Company entered into a definitive agreement for the sale of certain real estate and related assets of a commercial property located in New Bedford, Massachusetts to a third-party for a total purchase price is $350, subject to certain adjustments. The closing is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conditions, including entering into an operating lease with the third-party. The Company anticipates this transaction will be accounted for either a sale leaseback transaction or a finance liability, depending on the final lease terms.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11. DEBT</w:t>
            </w: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24"/>
                <w:szCs w:val="24"/>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24"/>
                <w:szCs w:val="24"/>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Loan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AWH Convertible Promissory Notes</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75,484</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2019 Notes</w:t>
            </w:r>
          </w:p>
        </w:tc>
        <w:tc>
          <w:tcPr>
            <w:tcW w:w="38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Ann Arbor Note</w:t>
            </w:r>
          </w:p>
        </w:tc>
        <w:tc>
          <w:tcPr>
            <w:tcW w:w="3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2020 Credit Facility</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NJ Term Loan</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 Real Estate Loan</w:t>
            </w:r>
          </w:p>
        </w:tc>
        <w:tc>
          <w:tcPr>
            <w:tcW w:w="38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(4)</w:t>
            </w:r>
          </w:p>
        </w:tc>
        <w:tc>
          <w:tcPr>
            <w:tcW w:w="3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45,782</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r>
      <w:tr>
        <w:trPr>
          <w:trHeight w:val="250"/>
        </w:trPr>
        <w:tc>
          <w:tcPr>
            <w:tcW w:w="2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debt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215,029</w:t>
            </w:r>
          </w:p>
        </w:tc>
      </w:tr>
      <w:tr>
        <w:trPr>
          <w:trHeight w:val="236"/>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60,357</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deferred financing costs</w:t>
            </w:r>
          </w:p>
        </w:tc>
        <w:tc>
          <w:tcPr>
            <w:tcW w:w="3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Current portion of debt,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106,590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154,672</w:t>
            </w:r>
          </w:p>
        </w:tc>
      </w:tr>
      <w:tr>
        <w:trPr>
          <w:trHeight w:val="270"/>
        </w:trPr>
        <w:tc>
          <w:tcPr>
            <w:tcW w:w="20" w:type="dxa"/>
            <w:vAlign w:val="bottom"/>
            <w:shd w:val="clear" w:color="auto" w:fill="CCEEFF"/>
          </w:tcPr>
          <w:p>
            <w:pPr>
              <w:spacing w:after="0"/>
              <w:rPr>
                <w:sz w:val="23"/>
                <w:szCs w:val="23"/>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deferred financing costs</w:t>
            </w:r>
          </w:p>
        </w:tc>
        <w:tc>
          <w:tcPr>
            <w:tcW w:w="3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Long-term debt,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152,277</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80" w:lineRule="auto"/>
        <w:tabs>
          <w:tab w:leader="none" w:pos="32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On April 22, 2021 the convertible note purchase agreement entered in June 2019 (the “AWH Convertible Promissory Notes”) was amended to clarify the conversion rate of the underlying notes. Prior to the amendment, the conversion feature in connection with a going public transaction specified that the holders would receive a number of shares of Class A common stock equal to the outstanding principal and accrued and unpaid interest under the notes divided by a price per share equal to the lesser of (a)(i) a 20% discount to the price per share of Class A common stock offered pursuant to an offering in the event such offering occurs on or before 12 months from the closing date; (ii) a 25% discount to the price per share of Class A common stock offered pursuant to an offering in the event such offering occurs after 12 months from the closing date, but before the maturity date; and (b) the price per security, which equals the price per share resulting from a pre-money valuation of the company of $295,900, which was determined by the Company to be $2.96. The amendment to the note purchase agreement was solely made to clarify the conversion price in connection with a going public transaction. The note purchase agreement includes provisions to the effect that the notes may be amended with the written consent of the holders of a majority of the outstanding principal amount of all such notes, and which such consent was obtained, and any amendment so approved is binding on all holders of the notes. In conjunction with the Company’s IPO on May 4, 2021, the total principal outstanding under the AWH Convertible Promissory Notes, plus accrued interest thereon, automatically converted into 28,478 shares of Class A common stock based on a conversion price of $2.96 per share in accordance with the terms of the amended agreement. Per the terms of the notes, any AWH Convertible Promissory Notes outstanding for less than twelve months received a full twelve months of interest at conversion. $1,000 of these notes were with related party entities that are managed by one of the founders of the Company.</w:t>
      </w:r>
    </w:p>
    <w:p>
      <w:pPr>
        <w:spacing w:after="0" w:line="69" w:lineRule="exact"/>
        <w:rPr>
          <w:rFonts w:ascii="Arial" w:cs="Arial" w:eastAsia="Arial" w:hAnsi="Arial"/>
          <w:sz w:val="18"/>
          <w:szCs w:val="18"/>
          <w:color w:val="auto"/>
          <w:vertAlign w:val="superscript"/>
        </w:rPr>
      </w:pPr>
    </w:p>
    <w:p>
      <w:pPr>
        <w:jc w:val="both"/>
        <w:ind w:left="340" w:hanging="332"/>
        <w:spacing w:after="0" w:line="23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 October 2020, the Company entered into a $38,000 senior secured credit facility (the “October 2020 Credit Facility”), consisting of a $25,000 initial term loan and $13,000 aggregate principal of delayed draw term loans (which remain available for future funding). The October 2020 Credit Facility contains certain covenants, including a minimum cash balance requirement of $5,000 at the end of each fiscal month and a minimum cash to consolidated fixed charge ratio of 2.00 to 1.00. The Company was in compliance with these covenants at June 30, 2021.</w:t>
      </w:r>
    </w:p>
    <w:p>
      <w:pPr>
        <w:spacing w:after="0" w:line="93"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This loan contains certain covenants, including a maximum debt to assets ratio of 70%, as defined in the agreement. The Company was in compliance with these covenants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340" w:hanging="332"/>
        <w:spacing w:after="0" w:line="277" w:lineRule="auto"/>
        <w:tabs>
          <w:tab w:leader="none" w:pos="32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Sellers’ Notes consist of amounts owed for acquisitions or other purchases. A total of $11,174 was paid to the former owners of MOCA in January 2021, which amount is included in “Current portion of debt, net” on the unaudited Condensed Consolidated Balance Sheet at December 31, 2020. A total of $25,200 remains due to the former owners of Midway, of which $17,200 is included in “Current portion of debt, net” on the unaudited Condensed Consolidated Balance Sheet at June 30, 2021 and December 31, 2020 and $8,000 is included in “Long-term debt, net” on the unaudited Condensed Consolidated Balance Sheet at June 30, 2021 and December 31, 2020.</w:t>
      </w:r>
    </w:p>
    <w:p>
      <w:pPr>
        <w:spacing w:after="0" w:line="67" w:lineRule="exact"/>
        <w:rPr>
          <w:rFonts w:ascii="Arial" w:cs="Arial" w:eastAsia="Arial" w:hAnsi="Arial"/>
          <w:sz w:val="18"/>
          <w:szCs w:val="18"/>
          <w:color w:val="auto"/>
          <w:vertAlign w:val="superscript"/>
        </w:rPr>
      </w:pPr>
    </w:p>
    <w:p>
      <w:pPr>
        <w:jc w:val="both"/>
        <w:ind w:left="340"/>
        <w:spacing w:after="0" w:line="261" w:lineRule="auto"/>
        <w:rPr>
          <w:rFonts w:ascii="Arial" w:cs="Arial" w:eastAsia="Arial" w:hAnsi="Arial"/>
          <w:sz w:val="18"/>
          <w:szCs w:val="18"/>
          <w:color w:val="auto"/>
          <w:vertAlign w:val="superscript"/>
        </w:rPr>
      </w:pPr>
      <w:r>
        <w:rPr>
          <w:rFonts w:ascii="Arial" w:cs="Arial" w:eastAsia="Arial" w:hAnsi="Arial"/>
          <w:sz w:val="16"/>
          <w:szCs w:val="16"/>
          <w:color w:val="auto"/>
        </w:rPr>
        <w:t>Additionally, at June 30, 2021, $7,843 remains due under the purchase of a non-controlling interest, of which $3,141 and $4,702 is included in “Current portion of debt, net” and “Long-term debt, net” respectively on the unaudited Condensed Consolidated Balance Sheet. At December 31, 2020, $3,140 and $6,268 is included in “Current portion of debt, net” and “Long-term debt, net” respectively.</w:t>
      </w:r>
    </w:p>
    <w:p>
      <w:pPr>
        <w:spacing w:after="0" w:line="129"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As discussed in Note 4, “Acquisitions,” the Company issued a $4,712 sellers’ note in connection with the Hemma acquisition. The note accrues interest at a rate of 12% per annum. The outstanding principal plus accrued interest is due on December 5, 2021, but may be prepaid without premium or penalty.</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activity described above, in January 2021 the Company entered into a convertible note purchase agreement under which the Company issued $49,500 notes (the “2021 AWH Convertible Promissory Notes”). Each note bears interest at 8% for the first twelve months, 10% for months thirteen through fifteen, and 13% thereafter through maturity. Interest is paid-in-kind and added to the outstanding balance of the note, to be paid at maturity or upon conversion.</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Prior to the Conversion, the 2021 AWH Convertible Promissory Notes were convertible into common units of the Company on occurrence of certain events, such as a change of control or an initial public offering. Pursuant to the terms of the notes, upon the occurrence of an initial public offering, each note, including interest thereon less applicable withholding taxes, automatically converts into equity securities issued in connection with such initial public offering, with the number of securities issued on the basis of a price equal to the lesser of: (a)(i) a 20% discount to the issue price if an initial public offering occurs on or before 12 months from each note issuance; (ii) a 25% discount to the issue price if an initial public offering occurs after 12 months of each note issuance, but before maturity; and (b) the conversion price then in effect based on a defined pre-money valuation of the Company. In conjunction with the Company’s IPO on May 4, 2021, the total principal outstanding under the 2021 AWH Convertible Promissory Notes, plus accrued interest thereon, automatically converted into 8,910 shares of Class A common stock based on a conversion price of $6.00 per share in accordance with the terms of the agreement. Per the terms of the notes, the 2021 AWH Convertible Promissory Notes received a full twelve months of interest at conversion.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June 30, 2021, we repaid $786 of sellers’ notes related to the former owners of HealthCentral, LLC (“HCI”). During the six months ended June 30, 2021, we repaid: $500 of principal under our term notes; $11,174 of sellers’ notes related to the MOCA acquisition; and $1,571 of sellers’ notes related to the former owners of HCI.</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2021, the following cash payments are required under our debt arrangements: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0"/>
              </w:rPr>
              <w:t>Remainder of</w:t>
            </w: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2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note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23,484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37,770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Certain cash payments include an interest accretion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40" w:type="dxa"/>
            <w:vAlign w:val="bottom"/>
            <w:gridSpan w:val="5"/>
          </w:tcPr>
          <w:p>
            <w:pPr>
              <w:ind w:left="640"/>
              <w:spacing w:after="0"/>
              <w:rPr>
                <w:sz w:val="20"/>
                <w:szCs w:val="20"/>
                <w:color w:val="auto"/>
              </w:rPr>
            </w:pPr>
            <w:r>
              <w:rPr>
                <w:rFonts w:ascii="Arial" w:cs="Arial" w:eastAsia="Arial" w:hAnsi="Arial"/>
                <w:sz w:val="18"/>
                <w:szCs w:val="18"/>
                <w:color w:val="auto"/>
              </w:rPr>
              <w:t>Interest expense during 2021 and 2020 consisted of the following:</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 on notes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Non-cash interest related to beneficial conversion</w:t>
            </w:r>
          </w:p>
        </w:tc>
        <w:tc>
          <w:tcPr>
            <w:tcW w:w="3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feature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Interest on financing liability</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See Note 12, “Equity,” for additional details.</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Interest on financing liability related to failed sale leasebacks.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Following the Conversion on April 22, 2021,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share of Class A common stock is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the final conversion date (May 4, 2026).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the shares transferred.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vote of the holders of a majority of the outstanding shares of Class A common stock and Class B common stock, each voting separately as a class.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total shares of Class A common stock and Class B common stock outstanding as of June 30,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Class A common stock</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168,764</w:t>
            </w:r>
          </w:p>
        </w:tc>
      </w:tr>
      <w:tr>
        <w:trPr>
          <w:trHeight w:val="229"/>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Shares of Class B common stock</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168,829</w:t>
            </w:r>
          </w:p>
        </w:tc>
      </w:tr>
    </w:tbl>
    <w:p>
      <w:pPr>
        <w:spacing w:after="0" w:line="24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Immediately prior to the completion of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unaudited Condensed Consolidated Statements of Changes in Stockholders’ Equity on an as-converted to historical common units basis. The following table summarizes the historical units outstanding at our prior quarter end and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40" w:type="dxa"/>
            <w:vAlign w:val="bottom"/>
            <w:gridSpan w:val="2"/>
          </w:tcPr>
          <w:p>
            <w:pPr>
              <w:ind w:left="560"/>
              <w:spacing w:after="0"/>
              <w:rPr>
                <w:sz w:val="20"/>
                <w:szCs w:val="20"/>
                <w:color w:val="auto"/>
              </w:rPr>
            </w:pPr>
            <w:r>
              <w:rPr>
                <w:rFonts w:ascii="Arial" w:cs="Arial" w:eastAsia="Arial" w:hAnsi="Arial"/>
                <w:sz w:val="18"/>
                <w:szCs w:val="18"/>
                <w:b w:val="1"/>
                <w:bCs w:val="1"/>
                <w:color w:val="auto"/>
              </w:rPr>
              <w:t>March 31, 2021</w:t>
            </w: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23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0"/>
              </w:rPr>
              <w:t>49,130</w:t>
            </w: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48,047</w:t>
            </w: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Real Estate Preferred Units</w:t>
            </w:r>
          </w:p>
        </w:tc>
        <w:tc>
          <w:tcPr>
            <w:tcW w:w="2300" w:type="dxa"/>
            <w:vAlign w:val="bottom"/>
          </w:tcPr>
          <w:p>
            <w:pPr>
              <w:jc w:val="center"/>
              <w:ind w:left="1590"/>
              <w:spacing w:after="0"/>
              <w:rPr>
                <w:sz w:val="20"/>
                <w:szCs w:val="20"/>
                <w:color w:val="auto"/>
              </w:rPr>
            </w:pPr>
            <w:r>
              <w:rPr>
                <w:rFonts w:ascii="Arial" w:cs="Arial" w:eastAsia="Arial" w:hAnsi="Arial"/>
                <w:sz w:val="18"/>
                <w:szCs w:val="18"/>
                <w:color w:val="auto"/>
                <w:w w:val="90"/>
              </w:rPr>
              <w:t>22,801</w:t>
            </w:r>
          </w:p>
        </w:tc>
        <w:tc>
          <w:tcPr>
            <w:tcW w:w="1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22,801</w:t>
            </w: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Seed Preferred Units</w:t>
            </w:r>
          </w:p>
        </w:tc>
        <w:tc>
          <w:tcPr>
            <w:tcW w:w="230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0"/>
              </w:rPr>
              <w:t>14,252</w:t>
            </w: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r>
      <w:tr>
        <w:trPr>
          <w:trHeight w:val="230"/>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Series Seed+ Preferred Units</w:t>
            </w:r>
          </w:p>
        </w:tc>
        <w:tc>
          <w:tcPr>
            <w:tcW w:w="230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color w:val="auto"/>
                <w:w w:val="90"/>
              </w:rPr>
              <w:t>20,982</w:t>
            </w:r>
          </w:p>
        </w:tc>
        <w:tc>
          <w:tcPr>
            <w:tcW w:w="1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20,982</w:t>
            </w: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CCEEFF"/>
          </w:tcPr>
          <w:p>
            <w:pPr>
              <w:jc w:val="center"/>
              <w:ind w:left="1610"/>
              <w:spacing w:after="0"/>
              <w:rPr>
                <w:sz w:val="20"/>
                <w:szCs w:val="20"/>
                <w:color w:val="auto"/>
              </w:rPr>
            </w:pPr>
            <w:r>
              <w:rPr>
                <w:rFonts w:ascii="Arial" w:cs="Arial" w:eastAsia="Arial" w:hAnsi="Arial"/>
                <w:sz w:val="18"/>
                <w:szCs w:val="18"/>
                <w:color w:val="auto"/>
                <w:w w:val="92"/>
              </w:rPr>
              <w:t>107,165</w:t>
            </w:r>
          </w:p>
        </w:tc>
        <w:tc>
          <w:tcPr>
            <w:tcW w:w="14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106,082</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conjunction with the Company’s Conversion, each historical common unit then-outstanding converted into one share of Class A common stock, except 65 units that were allocated to shares of Class B common stock.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for a total non-cash interest charge of $27,361. Each Series Seed Preferred Unit and Series Seed+ Preferred Unit converted into shares of Class A common stock on a one-for-one basis. As discussed in Note 11, “Debt,” the AWH Promissory Notes, plus accrued interest, converted into 28,478 shares of Class A common stock and the 2021 AWH Convertible Promissory Notes, plus accrued interest, converted into 8,910 shares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conjunction with the Conversion, the holders of warrants to acquire 3,531 common units at an exercise price of $4.00 received warrants to acquire an equal number of shares of Class A common stock. On April 14, 2021, the Company entered into a warrant cancellation agreement with One Tower Atlantic, LLC, the holder of warrants to acquire 1,094 common units of AWH at an exercise price of $3.20 per unit (the “$3.20 Warrants”). Upon the completion of the IPO, the $3.20 Warrants were cancelled in exchange for a payment of $4,156 (or $7.00 per share calculated in accordance with the cashless exercise provisions of the warrant agreement) that was paid in May 2021 and is reflected within “Additional paid-in capital” on the unaudited Condensed Consolidated Statements of Changes in Stockholders’ Equity.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warrants to acquire a total of 3,531 shares of Class A common stock at an exercise price of $4.00 per share were outstanding. These warrants had an estimated total fair value of $237 at issuance, with the fair value per warrant ranging from $0.02 to $0.10. The weighted-average remaining contractual life of the warrants outstanding as of June 30, 2021 is 2.5 years and the outstanding warrants had an intrinsic value of $23,835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 EXPENSE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were issued under the plan as of June 30, 2021. The Awards generally vest over two or three years. The estimated fair value of the Awards at issuance is recognized as compensation expense over the related vesting period.</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conjunction with the Conversion in April 2021, the holders of the restricted common units issued under the 2020 Plan received one restricted share of Class A common stock (a “restricted common share”) for each restricted common unit held immediately prior to the Conversion. Unless otherwise specified, the Awards may not be exercised for six months following the IPO.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ind w:left="660"/>
              <w:spacing w:after="0"/>
              <w:rPr>
                <w:sz w:val="20"/>
                <w:szCs w:val="20"/>
                <w:color w:val="auto"/>
              </w:rPr>
            </w:pPr>
            <w:r>
              <w:rPr>
                <w:rFonts w:ascii="Arial" w:cs="Arial" w:eastAsia="Arial" w:hAnsi="Arial"/>
                <w:sz w:val="18"/>
                <w:szCs w:val="18"/>
                <w:color w:val="auto"/>
                <w:w w:val="94"/>
              </w:rPr>
              <w:t>The following table summarizes the restricted common shares activity during the six months ended June 30, 2021:</w:t>
            </w:r>
          </w:p>
        </w:tc>
        <w:tc>
          <w:tcPr>
            <w:tcW w:w="1940" w:type="dxa"/>
            <w:vAlign w:val="bottom"/>
          </w:tcPr>
          <w:p>
            <w:pPr>
              <w:spacing w:after="0"/>
              <w:rPr>
                <w:sz w:val="20"/>
                <w:szCs w:val="20"/>
                <w:color w:val="auto"/>
              </w:rPr>
            </w:pPr>
          </w:p>
        </w:tc>
      </w:tr>
      <w:tr>
        <w:trPr>
          <w:trHeight w:val="364"/>
        </w:trPr>
        <w:tc>
          <w:tcPr>
            <w:tcW w:w="9300" w:type="dxa"/>
            <w:vAlign w:val="bottom"/>
          </w:tcPr>
          <w:p>
            <w:pPr>
              <w:spacing w:after="0"/>
              <w:rPr>
                <w:sz w:val="24"/>
                <w:szCs w:val="24"/>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b w:val="1"/>
                <w:bCs w:val="1"/>
                <w:color w:val="auto"/>
              </w:rPr>
              <w:t>Restricted Common</w:t>
            </w:r>
          </w:p>
        </w:tc>
      </w:tr>
      <w:tr>
        <w:trPr>
          <w:trHeight w:val="230"/>
        </w:trPr>
        <w:tc>
          <w:tcPr>
            <w:tcW w:w="93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Shares</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June 30,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bl>
    <w:p>
      <w:pPr>
        <w:spacing w:after="0" w:line="2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recognized $1,711 and $4,198 as compensation expense in connection with the restricted common shares during the three and six months ended June 30, 2021, respectively. This expense is included in “General and administrative expenses” on the unaudited Condensed Consolidated Statements of Operations and includes additional compensation charges of approximately $733 recognized with the closing of the IPO related to restricted common shares that became fully vested at that time due to acceleration clauses. During the three and six months ended June 30, 2020, the Company recognized $85 and $270, respectively, as compensation expense in connection with the Company’s previous incentive units that were outstanding at that time. As of June 30, 2021, total unrecognized compensation cost related to restricted common shares was $432, which is expected to be recognized over the weighted-average remaining vesting period of 0.6 years.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also adopted an employee stock purchase plan (the “2021 ESPP”), pursuant to which 4,000 shares of Class A common stock are reserved for issuance thereunder, subject to certain adjustments and other terms. As of the date of this filing, no shares have been issued under the 2021 ESPP.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14. INCOME TAXES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3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183"/>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64,183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19,670</w:t>
            </w: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11,995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20,971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6,069</w:t>
            </w: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 on gross profit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to income tax matters in connection with the normal course of operations during the three and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have significant future annual commitments, other than related to leases and debt, which are disclosed in Notes 10 and 11,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Matters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2021, cannabis regulations continue to evolve and are subject to differing interpretations, and accordingly, the Company may be subject to regulatory fines, penalties, or restrictions in the future.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which may be brought against the Company.</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2021 there were no pending or threatened lawsuits that could reasonably be expected to have a material effect on our consolidated results of operations, other than as disclosed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2020, TVP, LLC, TVP Grand Rapids, LLC and, TVP Alma, LLC (collectively, the “TVP Parties”) filed a claim alleging breach of contract against FPAW Michigan, LLC (“FPAW”), a VIE of the Company through FPAW Michigan 2, Inc., and AWH related to a purchase agreement for the Company’s potential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certain locations in Michigan. The TVP Parties asked the court to grant specific performance of the contracts between the Company and the TVP Parties,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14, 2021, FPAW and AWH entered into a settlement agreement with TVP Parties (the “Settlement Agreement”). The Settlement Agreement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or approximately $2,000 less than would have otherwise been payable under the agreements. In addition, on April 14, 2021, upon the execution of the Settlement Agreement, AWH issued 4,770 common units of AWH with a fair value of $26,041 to an escrow account, to be held in the name of the escrow agent (the “Escrow Units”).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Put Option is required to be exercised by the TVP Parties within three years of the date of the Settlement Agreement.</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Of the total settlement liability, $5,480 is included within “Accounts payable and accrued expenses” on the accompanying unaudited Condensed Consolidated Balance Sheet as of June 30, 2021 and the fair value of the share issuance of $27,431 is reflected within “Reserve for equity issued in litigation settlement” and “Equity issued in litigation settlement” on the unaudited Condensed Consolidated Statement of Changes in Stockholders’ Equity. The fair value of the three properties to be acquired per the settlement of $5,400 is recorded within “Other noncurrent assets” as of June 30, 2021, and will remain until the time such property titles transfer to the Company. The settlement charge of $36,511 is reflected within “Settlement expense” on the unaudited Condensed Consolidated Statements of Operations. The settlement charge is not expected to be deductible for tax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Dispute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“Convertible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Convertible Note Purchase Agreement (the “Amended Notes Consent”), which was approved by holders of approximately 66% of the principal amount of the Convertible Notes, in excess of the simple majority required to amend the Convertible Notes. The Amended Notes Consent set the conversion price of the Convertible Notes at $2.96 per share. The Claimants allege that the Amended Notes Consent was obtained improperly and is void, and seek damages in excess of $20,000. The Company disputes the Claimants’ allegations and believes the Amended Notes Consent was properly obtained in accordance with the terms of the Convertible Notes and 2019 Convertible Note Purchase Agreement and the Amended Notes are binding on all holders of the Convertible Notes. The Company intends to vigorously defend against what it views as meritless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the Company submitted an amended state application to acquire BCCO, LLC, a medical dispensary license holder in Ohio for total cash consideration of approximately $3,500, subject to certain adjustments at closing. The Company may settle the outstanding balances due under a note receivable and a working capital loan, which total $3,460 as of June 30, 2021, as part of the purchase price at closing. The Company expects the transaction to close in August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2021, we entered into a definitive investment agreement (the “Investment Agreement”) with MedMen Enterprises Inc. (“MedMen”), under which we will, subject to regulatory approval, complete an investment (the “Investment”) of approximately $73,000 in MedMen NY, Inc. (“MMNY”), a licensed medical cannabis operator in New York. In connection with the investment, and subject to regulatory approval, MMNY will engage our services pursuant to a management agreement (the “Management Agreement”) under which we will advise on MMNY’s operations pending regulatory approval of the Investment transaction.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terms of the Investment, at closing, MMNY will assume approximately $73,000 of MedMen’s existing secured debt, AWH will invest $35,000 in cash in MMNY, and AWH New York, LLC will issue a senior secured promissory note in favor of MMNY’s senior secured lender in the principal amount of $28,000, guaranteed by AWH, which cash investment and note will be used to reduce the amounts owed to MMNY’s senior secured lender. Following its investment, AWH will hold a controlling interest in MMNY equal to approximately 86.7% of the equity in MMNY, and be provided with an option to acquire MedMen’s remaining interest in MMNY in the future. AWH must also make an additional investment of $10,000 in exchange for additional equity in MMNY, which investment will also be used to repay MMNY’s senior secured lender if adult-use cannabis sales commence in MMNY’s dispensaries. The transactions contemplated by the Investment Agreement are subject to customary closing conditions, including approval from the New York State Department of Health and other applicable regulatory bodies.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AWH had a management services agreement (“MSA”) with AGP Partners, LLC (“AGP”) under which AGP provided management services to AWH in connection with the monitoring and oversight of AWH’s financial and business functions. The founder of AGP is the Chief Executive Officer and one of the founders of AWH. Pursuant to the MSA, AWH paid AGP a quarterly fee of $100. Pursuant to the terms of the agreement, the MSA was terminated following the Company’s IPO in May 2021. Upon termination, AGP was entitled to receive a $2,000 payout that was contingent upon the beneficial owners of AGP who serve as officers of the Company entering into lock-up agreements that extend for 360 days following the Company’s IPO. Pursuant to the MSA, each such lock-up agreement contains a provision whereby AWH’s Board may waive, in whole or in part, such extended lock-up thereto if AWH’s Board determines, in its sole discretion and in accordance with AWH’s governing documents and applicable law, that such waiver will not have an adverse effect on AWH and its equity holders, business, financial condition, and prospects.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recognized expenses related to the MSA of $2,024 and $2,124 during the three and six months ended June 30, 2021, respectively, and $100 and $200 during the three and six months ended June 30, 2020, respectively, that are included in “General and administrative expenses” on the unaudited Condensed Consolidated Statements of Operations. A total of $2,024 and $100 of these fees are included in “Accounts payable and other accrued expenses” on the unaudited Condensed Consolidated Balance Sheets as of June 30, 2021 and December 31, 2020, respectively.</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in Note 11, “Debt,” certain of the AWH Convertible Promissory Notes were with related party entities that are managed by one of the founders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17. SUPPLEMENTAL INFORMATION</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20" w:type="dxa"/>
            <w:vAlign w:val="bottom"/>
            <w:gridSpan w:val="3"/>
          </w:tcPr>
          <w:p>
            <w:pPr>
              <w:ind w:left="640"/>
              <w:spacing w:after="0"/>
              <w:rPr>
                <w:sz w:val="20"/>
                <w:szCs w:val="20"/>
                <w:color w:val="auto"/>
              </w:rPr>
            </w:pPr>
            <w:r>
              <w:rPr>
                <w:rFonts w:ascii="Arial" w:cs="Arial" w:eastAsia="Arial" w:hAnsi="Arial"/>
                <w:sz w:val="18"/>
                <w:szCs w:val="18"/>
                <w:color w:val="auto"/>
                <w:w w:val="92"/>
              </w:rPr>
              <w:t>The following table presents supplemental information regarding our other current assets:</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improvement allowance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24,349</w:t>
            </w:r>
          </w:p>
        </w:tc>
      </w:tr>
      <w:tr>
        <w:trPr>
          <w:trHeight w:val="229"/>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Deposits and other receivables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30"/>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9"/>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Construction deposits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accounts payable and accrued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17"/>
                <w:szCs w:val="17"/>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r>
      <w:tr>
        <w:trPr>
          <w:trHeight w:val="230"/>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Fixed asset purchases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11,572</w:t>
            </w:r>
          </w:p>
        </w:tc>
      </w:tr>
      <w:tr>
        <w:trPr>
          <w:trHeight w:val="22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7,723</w:t>
            </w:r>
          </w:p>
        </w:tc>
      </w:tr>
      <w:tr>
        <w:trPr>
          <w:trHeight w:val="22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9"/>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13,654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1,450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2,907</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3,920</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30,612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filing date of this Quarterly Report on Form 10-Q require adjustment to or disclosure in the Company’s condensed consolidated financial statements. There were no events that require adjustment to or disclosure in the condensed consolidated financial statements, except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which we refer to as the “MD&amp;A”, of the financial condition and results of operations of Ascend Wellness Holdings, Inc. (the “Company,” “AWH,” or “Ascend”) is for the three and six months ended June 30, 2021 and 2020.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financial statements for the years ended December 31, 2020 and 2019, and the accompanying notes thereto (the “Annual Financial Statements”), which are included in our Registration Statement on Form S-1, as amended, filed with the U.S. Securities and Exchange Commission on April 26, 2021. The Financial Statements and Annual Financial Statements were prepared in accordance with accounting principles generally accepted in the United States of America, which we refer to as “GAAP.”</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“Equity,” in the Financial Statements for additional details.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and are quoted on the OTCQX under the symbol “AAWH.” We are an emerging growth company under federal securities laws and as such we are able to elect to follow scaled disclosure requirements for this filing.</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Particular risks and uncertainties that could cause our actual results to be materially different from those expressed in our forward-looking statements include those listed below:</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potential future U.S. Food and Drug Administration (the “FDA”)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risks and other risks and uncertainties we face is contained in Part II., Item 1A., “Risk Factors,” in this Form 10-Q and in other reports we may file from time to time with the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information, there may be other factors that cause results not to be as anticipated, estimated or intended. See “Forward-Looking Statements” for more information.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in this MD&amp;A is expressly qualified by this cautionary statement.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Since our formation, we have expanded our operational footprint, primarily through acquisitions, and currently have direct or indirect operations or financial interests in five U.S. geographic markets: Illinois, Massachusetts, Michigan, New Jersey, and Ohio, and employ approximately 1,200 people.</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four out of the five states in which we operate with expansion plans underway to achieve vertical integration in all five states.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consumer products portfolio is generated primarily from plant material that we grow and process ourselves. We produce our consumer packaged goods in five manufacturing facilities with 90,000 square feet of current operational canopy and total current capacity of 47,000 pounds annually. We are undergoing expansions to 285,000 square feet of cumulative canopy, which is estimated to have a total production capacity of 146,000 pounds annually post build-out. As of August 13, 2021, our product portfolio consists of 121 stock keeping units (“SKUs”), across a range of cannabis product categories, including flower, pre-rolls, concentrates, vapes, edibles, and other cannabis-related products. As of August 13, 2021, we have 17 open and operating retail locations with expectations to have 21 retail locations by the end of 2021.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9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9"/>
              </w:rPr>
              <w:t>Three Months Ended June 30, 2021 Compared with the Three Months Ended June 30, 2020</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671"/>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691"/>
              <w:spacing w:after="0" w:line="182"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82" w:lineRule="exact"/>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83,367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25,384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228%</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(48,851)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35,645</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270%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34,516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183%</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41.4 %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48.0 %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9,975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20,637</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207%</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2,203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(36,888)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34,015</w:t>
            </w:r>
          </w:p>
        </w:tc>
        <w:tc>
          <w:tcPr>
            <w:tcW w:w="1520" w:type="dxa"/>
            <w:vAlign w:val="bottom"/>
          </w:tcPr>
          <w:p>
            <w:pPr>
              <w:ind w:left="560"/>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(36,806)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33,930</w:t>
            </w:r>
          </w:p>
        </w:tc>
        <w:tc>
          <w:tcPr>
            <w:tcW w:w="1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(32,902)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(3,632)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230%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(44,897)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943%</w:t>
            </w: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4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w:t>
            </w:r>
          </w:p>
        </w:tc>
        <w:tc>
          <w:tcPr>
            <w:tcW w:w="1520" w:type="dxa"/>
            <w:vAlign w:val="bottom"/>
          </w:tcPr>
          <w:p>
            <w:pPr>
              <w:ind w:left="560"/>
              <w:spacing w:after="0"/>
              <w:rPr>
                <w:sz w:val="20"/>
                <w:szCs w:val="20"/>
                <w:color w:val="auto"/>
              </w:rPr>
            </w:pPr>
            <w:r>
              <w:rPr>
                <w:rFonts w:ascii="Arial" w:cs="Arial" w:eastAsia="Arial" w:hAnsi="Arial"/>
                <w:sz w:val="18"/>
                <w:szCs w:val="18"/>
                <w:color w:val="auto"/>
              </w:rPr>
              <w:t>NM*</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AWH</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39,855</w:t>
            </w:r>
          </w:p>
        </w:tc>
        <w:tc>
          <w:tcPr>
            <w:tcW w:w="15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increased by $57,983, or 228%, during the three months ended June 30, 2021, as compared to the three months ended June 30, 2020, primarily driven by growth from our existing businesses as well as new site openings and acquisitions. During the three months ended June 30, 2021, we recognized incremental revenue from acquisitions of $19,055. Five new dispensaries that were opened between the second half of 2020 and first quarter of 2021 and two new dispensaries that were opened during the three months ended June 30, 2021 contributed $18,507 of the revenue growth. Revenue from existing dispensaries increased by $1,345. Additionally, increased production and sales from our cultivation and manufacturing sites contributed $19,076. As of June 30, 2021, we had 121 SKUs for our cultivation products, compared to 35 SKUs as of June 30,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goods sold increased by $35,645, or 270%, during the three months ended June 30, 2021, as compared to the three months ended June 30, 2020. Cost of goods sold represent direct and indirect expenses attributable to the production of wholesale products as well as direct expenses incurred in purchasing products from other wholesalers. The increase in cost of goods sold in the three months ended June 30, 2021 was driven by expansion of our operations, including $11,483 of incremental costs from acquisitions. Gross profit for the three months ended June 30, 2021 was $34,516, representing a gross margin of 41.4%, compared to gross profit of $12,178 and gross margin of 48.0% for the three months ended June 30, 2020. The decrease in gross margin was primarily driven by operational issues at our Massachusetts cultivation facility that resulted in pricing pressure due to lower quality production, partially offset by efficiency improvements at our Illinois cultivation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$20,637, or 207%, during the three months ended June 30, 2021, as compared to the three months ended June 30, 2020. The increase was primarily related to:</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a $10,845 increase in compensation expense resulting from an increase in headcount from approximately 450 as of June 30, 2020 to approximately 1,200 by June 30, 2021 to support our expanded operations, including $1,626 of higher equity based compensation expense from the vesting of restricted common shares that were granted in 2020;</w:t>
      </w:r>
    </w:p>
    <w:p>
      <w:pPr>
        <w:spacing w:after="0" w:line="75"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$4,420 increase in professional services, including a $2,000 termination fee associated with a master services agreement (“MSA”) following our IPO, as well as an increase in legal, consulting, accounting, and tax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$1,548 increase in rent and utilities, resulting from eighteen operating leases during the 2021 period, compared to eight during the 2020 period, and an increase in related utilities expenses to support the expansion of our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$818 related to insurance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$647 increase in marketing expenses associated with new dispensary openings;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$501 increase in depreciation and amortization expense due to $1,024 of incremental depreciation expense due to a larger average balance of fixed assets in service and $862 of incremental amortization of licenses that were acquired primarily in late 2020, partially offset by $1,385 of lower amortization from in-place leases that became fully amortized in late 2020;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$155 increase in charitable donations, including our corporate match of donations to the Last Prisoner Project, a cannabis criminal justice-focused nonprofit organization.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increased by $34,015 during the three months ended June 30, 2021, as compared to the three months ended June 30, 2020. The increase was primarily driven by a $27,361 non-cash interest expense charge related to the beneficial conversion feature of the historical Real Estate Preferred Units recognized in conjunction with the IPO, as well as $3,606 of incremental non-cash interest recognized upon conversion of the Company’s convertible notes in conjunction with the IPO. During the three months ended June 30, 2021, the Company had a weighted-average outstanding debt balance of $176,317 with a weighted-average interest rate of 11.0%, compared to an average debt balance of $75,187 during three months ended June 30, 2020 with a weighted-average interest rate of 10.2%.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statutory federal tax rate was 21% during both periods. The Company has operations in five U.S. geographic markets: Illinois, Massachusetts, Michigan, New Jersey, and Ohio, which have state tax rates ranging from 4% to 9.5%. Certain states, including Michigan, do not align with IRC Section 280E for state tax purposes and permit the deduction of ordinary and necessary business expenses from gross profit in the calculation of state taxable income.</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Income tax expense was $11,995, or 34.8% of gross profit, during the three months ended June 30, 2021, as compared to $3,632, or 29.8% of gross profit, during the three months ended June 30, 2020. There have been no material changes to income tax matters in connection with the normal course of operations during the three months ended June 30, 2021. The effective tax rate on gross profit for the three months ended June 30, 2021 was impacted by higher accrued penalties and interest due on tax payments in the current year, an increase in state taxes related to states where we had losses in the prior year, and a change in the allocation of taxable income for certain state and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1"/>
              </w:rPr>
              <w:t>Six Months Ended June 30, 2021 Compared with the Six Months Ended June 30, 2020</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671"/>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1"/>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82" w:lineRule="exact"/>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149,504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47,976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101,528</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212%</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(85,321)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(28,306)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57,015</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201%</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226%</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42.9 %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41.0 %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55,758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19,624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36,134</w:t>
            </w:r>
          </w:p>
        </w:tc>
        <w:tc>
          <w:tcPr>
            <w:tcW w:w="1520" w:type="dxa"/>
            <w:vAlign w:val="bottom"/>
          </w:tcPr>
          <w:p>
            <w:pPr>
              <w:ind w:left="540"/>
              <w:spacing w:after="0"/>
              <w:rPr>
                <w:sz w:val="20"/>
                <w:szCs w:val="20"/>
                <w:color w:val="auto"/>
              </w:rPr>
            </w:pPr>
            <w:r>
              <w:rPr>
                <w:rFonts w:ascii="Arial" w:cs="Arial" w:eastAsia="Arial" w:hAnsi="Arial"/>
                <w:sz w:val="18"/>
                <w:szCs w:val="18"/>
                <w:color w:val="auto"/>
              </w:rPr>
              <w:t>184%</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 expense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92,269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19,624</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72,645</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370%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 profit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(28,086)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(28,132)</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(5,403)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38,822</w:t>
            </w:r>
          </w:p>
        </w:tc>
        <w:tc>
          <w:tcPr>
            <w:tcW w:w="1520" w:type="dxa"/>
            <w:vAlign w:val="bottom"/>
          </w:tcPr>
          <w:p>
            <w:pPr>
              <w:ind w:left="540"/>
              <w:spacing w:after="0"/>
              <w:rPr>
                <w:sz w:val="20"/>
                <w:szCs w:val="20"/>
                <w:color w:val="auto"/>
              </w:rPr>
            </w:pPr>
            <w:r>
              <w:rPr>
                <w:rFonts w:ascii="Arial" w:cs="Arial" w:eastAsia="Arial" w:hAnsi="Arial"/>
                <w:sz w:val="18"/>
                <w:szCs w:val="18"/>
                <w:color w:val="auto"/>
              </w:rPr>
              <w:t>719%</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(44,063)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716%</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66,795</w:t>
            </w:r>
          </w:p>
        </w:tc>
        <w:tc>
          <w:tcPr>
            <w:tcW w:w="1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(20,971)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(6,069)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w:t>
            </w:r>
          </w:p>
        </w:tc>
        <w:tc>
          <w:tcPr>
            <w:tcW w:w="1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246%</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(93,120)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81,697</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715%</w:t>
            </w: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4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w:t>
            </w:r>
          </w:p>
        </w:tc>
        <w:tc>
          <w:tcPr>
            <w:tcW w:w="1520" w:type="dxa"/>
            <w:vAlign w:val="bottom"/>
          </w:tcPr>
          <w:p>
            <w:pPr>
              <w:ind w:left="560"/>
              <w:spacing w:after="0"/>
              <w:rPr>
                <w:sz w:val="20"/>
                <w:szCs w:val="20"/>
                <w:color w:val="auto"/>
              </w:rPr>
            </w:pPr>
            <w:r>
              <w:rPr>
                <w:rFonts w:ascii="Arial" w:cs="Arial" w:eastAsia="Arial" w:hAnsi="Arial"/>
                <w:sz w:val="18"/>
                <w:szCs w:val="18"/>
                <w:color w:val="auto"/>
              </w:rPr>
              <w:t>NM*</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AWH</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80,600</w:t>
            </w:r>
          </w:p>
        </w:tc>
        <w:tc>
          <w:tcPr>
            <w:tcW w:w="15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increased by $101,528, or 212%, during the six months ended June 30, 2021, as compared to the six months ended June 30, 2020, primarily driven by growth from our existing businesses as well as new site openings and acquisitions. During the six months ended June 30, 2021, we recognized incremental revenue from acquisitions of $34,630. Three new dispensaries that were opened during the second half of 2020 and four new dispensaries that were opened during the six months ended June 30, 2021 contributed $26,119 of the revenue growth. Revenue from existing dispensaries increased by $4,825. Additionally, increased production and sales from our cultivation and manufacturing sites contributed $35,954. As of June 30, 2021, we had 121 SKUs for our cultivation products, compared to 35 SKUs as of June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goods sold increased by $57,015, or 201%, during the six months ended June 30, 2021, as compared to the six months ended June 30, 2020. Cost of goods sold represent direct and indirect expenses attributable to the production of wholesale products as well as direct expenses incurred in purchasing products from other wholesalers. The increase in cost of goods sold in the six months ended June 30, 2021 was driven by expansion of our operations, including $20,432 of incremental costs from acquisitions. Gross profit for the six months ended June 30, 2021 was $64,183, representing a gross margin of 42.9%, compared to gross profit of $19,670 and gross margin of 41.0% for the six months ended June 30, 2020. The increase in gross margin was primarily driven by efficiency improvements at our Illinois cultivation facility, partially offset by operational issues at our Massachusetts cultivation facility that resulted in pricing pressure due to lower quality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$36,134, or 184%, during the six months ended June 30, 2021, as compared to the six months ended June 30, 2020. The increase was primarily related to:</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a $18,432 increase in compensation expense resulting from an increase in headcount from approximately 450 as of June 30, 2020 to approximately 1,200 by June 30, 2021 to support our expanded operations, including $3,928 of higher equity based compensation expense from the vesting of restricted stock units that were granted in 2020;</w:t>
      </w:r>
    </w:p>
    <w:p>
      <w:pPr>
        <w:spacing w:after="0" w:line="75"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$6,880 increase in professional services, including a $2,000 termination fee associated with an MSA following our IPO, as well as an increase in legal, consulting, accounting, and tax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$4,213 increase in rent and utilities, resulting from eighteen operating leases during the 2021 period, compared to eight during the 2020 period, and an increase in related utilities expenses to support the expansion of our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$1,470 related to insurance expenses;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$969 increase in depreciation and amortization expense due to $1,931 of incremental depreciation expense due to a larger average balance of fixed assets in service and $1,766 of incremental amortization of licenses that were acquired primarily in late 2020, partially offset by $2,728 of lower amortization from in-place leases that became fully amortized in late 2020;</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$780 increase in marketing expenses associated with new dispensary openings;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$276 increase in charitable donations, including our corporate match of donations to the Last Prisoner Project, a cannabis criminal justice-focused nonprofit organization.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2021, we recognized a charge of $36,511 related to the settlement of a litigation matter. Refer to “</w:t>
      </w:r>
      <w:r>
        <w:rPr>
          <w:rFonts w:ascii="Arial" w:cs="Arial" w:eastAsia="Arial" w:hAnsi="Arial"/>
          <w:sz w:val="18"/>
          <w:szCs w:val="18"/>
          <w:i w:val="1"/>
          <w:iCs w:val="1"/>
          <w:color w:val="auto"/>
        </w:rPr>
        <w:t>Management’s Discussion and Analysis of Financial Condition and Results of Operations — Legal Matters</w:t>
      </w:r>
      <w:r>
        <w:rPr>
          <w:rFonts w:ascii="Arial" w:cs="Arial" w:eastAsia="Arial" w:hAnsi="Arial"/>
          <w:sz w:val="18"/>
          <w:szCs w:val="18"/>
          <w:color w:val="auto"/>
        </w:rPr>
        <w:t>”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increased by $38,822, or 719%, during the six months ended June 30, 2021, as compared to the six months ended June 30, 2020. The increase was primarily driven by a $27,361 non-cash interest expense charge related to the beneficial conversion feature of the historical Real Estate Preferred Units recognized in conjunction with the Company’s IPO, as well as $3,606 incremental non-cash interest recognized upon conversion of the Company’s convertible notes in conjunction with the IPO. During the six months ended June 30, 2021, the Company had an average outstanding debt balance of $214,561 with a weighted-average interest rate of 11.0%, compared to an average debt balance of $78,493 during six months ended June 30, 2020 with a weighted-average interest rate of 13.7%.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the Company operates in the cannabis industry, it is subject to the limitations of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statutory federal tax rate was 21% during both periods. The Company has operations in five U.S. geographic markets: Illinois, Massachusetts, Michigan, New Jersey, and Ohio, which have state tax rates ranging from 4% to 9.5%. Certain states, including Michigan, do not align with IRC Section 280E for state tax purposes and permit the deduction of ordinary and necessary business expenses from gross profit in the calculation of state taxable income.</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Income tax expense was $20,971, or 32.7% of gross profit, during the six months ended June 30, 2021, as compared to $6,069, or 30.9% of gross profit, during the six months ended June 30, 2020. There have been no material changes to income tax matters in connection with the normal course of operations during the six months ended June 30, 2021. The effective tax rate on gross profit for the six months ended June 30, 2021 was impacted by higher accrued penalties and interest due on tax payments in the current year, an increase in state taxes related to states where we had losses in the prior year, and a change in the allocation of taxable income for certain state and local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define “Adjusted Gross Profit” as gross profit excluding non-cash inventory costs.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 based compensation; start-up costs; transaction-related and other non-recurring expenses; litigation settlement; and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Gross Profit for the three and six months ended June 30,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80" w:type="dxa"/>
            <w:vAlign w:val="bottom"/>
            <w:gridSpan w:val="4"/>
          </w:tcPr>
          <w:p>
            <w:pPr>
              <w:jc w:val="right"/>
              <w:ind w:right="652"/>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91"/>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92"/>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1"/>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92"/>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34,516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12,178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64,183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7"/>
              </w:rPr>
              <w:t>Depreciation and amortization included in cost of</w:t>
            </w:r>
          </w:p>
        </w:tc>
        <w:tc>
          <w:tcPr>
            <w:tcW w:w="360" w:type="dxa"/>
            <w:vAlign w:val="bottom"/>
          </w:tcPr>
          <w:p>
            <w:pPr>
              <w:spacing w:after="0"/>
              <w:rPr>
                <w:sz w:val="15"/>
                <w:szCs w:val="15"/>
                <w:color w:val="auto"/>
              </w:rPr>
            </w:pPr>
          </w:p>
        </w:tc>
        <w:tc>
          <w:tcPr>
            <w:tcW w:w="1340" w:type="dxa"/>
            <w:vAlign w:val="bottom"/>
            <w:vMerge w:val="restart"/>
          </w:tcPr>
          <w:p>
            <w:pPr>
              <w:jc w:val="right"/>
              <w:ind w:right="111"/>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11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112"/>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goods sold</w:t>
            </w:r>
          </w:p>
        </w:tc>
        <w:tc>
          <w:tcPr>
            <w:tcW w:w="3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inventory adjustments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39,617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12,805</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72,196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Adjusted Gross Margin</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47.5 %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50.4 %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48.3 %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for the three and six months ended June 30,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8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91"/>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91"/>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1"/>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91"/>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11,995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20,971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36,888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44,225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8"/>
              </w:rPr>
              <w:t>Depreciation and amortization included in cost of</w:t>
            </w:r>
          </w:p>
        </w:tc>
        <w:tc>
          <w:tcPr>
            <w:tcW w:w="360" w:type="dxa"/>
            <w:vAlign w:val="bottom"/>
          </w:tcPr>
          <w:p>
            <w:pPr>
              <w:spacing w:after="0"/>
              <w:rPr>
                <w:sz w:val="15"/>
                <w:szCs w:val="15"/>
                <w:color w:val="auto"/>
              </w:rPr>
            </w:pPr>
          </w:p>
        </w:tc>
        <w:tc>
          <w:tcPr>
            <w:tcW w:w="1360" w:type="dxa"/>
            <w:vAlign w:val="bottom"/>
            <w:vMerge w:val="restart"/>
          </w:tcPr>
          <w:p>
            <w:pPr>
              <w:jc w:val="right"/>
              <w:ind w:right="111"/>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111"/>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1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280"/>
              <w:spacing w:after="0"/>
              <w:rPr>
                <w:sz w:val="20"/>
                <w:szCs w:val="20"/>
                <w:color w:val="auto"/>
              </w:rPr>
            </w:pPr>
            <w:r>
              <w:rPr>
                <w:rFonts w:ascii="Arial" w:cs="Arial" w:eastAsia="Arial" w:hAnsi="Arial"/>
                <w:sz w:val="18"/>
                <w:szCs w:val="18"/>
                <w:color w:val="auto"/>
              </w:rPr>
              <w:t>goods sold</w:t>
            </w:r>
          </w:p>
        </w:tc>
        <w:tc>
          <w:tcPr>
            <w:tcW w:w="3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Non-cash inventory adjustments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Equity based compensation</w:t>
            </w:r>
          </w:p>
        </w:tc>
        <w:tc>
          <w:tcPr>
            <w:tcW w:w="360" w:type="dxa"/>
            <w:vAlign w:val="bottom"/>
          </w:tcPr>
          <w:p>
            <w:pPr>
              <w:spacing w:after="0"/>
              <w:rPr>
                <w:sz w:val="19"/>
                <w:szCs w:val="19"/>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Start-up costs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Transaction-related and other non-recurring</w:t>
            </w:r>
          </w:p>
        </w:tc>
        <w:tc>
          <w:tcPr>
            <w:tcW w:w="360" w:type="dxa"/>
            <w:vAlign w:val="bottom"/>
          </w:tcPr>
          <w:p>
            <w:pPr>
              <w:spacing w:after="0"/>
              <w:rPr>
                <w:sz w:val="15"/>
                <w:szCs w:val="15"/>
                <w:color w:val="auto"/>
              </w:rPr>
            </w:pPr>
          </w:p>
        </w:tc>
        <w:tc>
          <w:tcPr>
            <w:tcW w:w="1360" w:type="dxa"/>
            <w:vAlign w:val="bottom"/>
            <w:vMerge w:val="restart"/>
          </w:tcPr>
          <w:p>
            <w:pPr>
              <w:jc w:val="right"/>
              <w:ind w:right="111"/>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1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ind w:right="131"/>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1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Litigation settlement</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36,511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Loss on sale of assets</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i w:val="1"/>
                <w:i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24.4 %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28.3 %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20.3 %</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One-time costs associated with acquiring real estate, obtaining licenses and permits, and other costs incurred before commencement of operations at certain locations.</w:t>
      </w:r>
    </w:p>
    <w:p>
      <w:pPr>
        <w:spacing w:after="0" w:line="55"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Legal and professional fees associated with the Company’s IPO and other non-recurring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we have used private financing as a source of liquidity for short-term working capital needs and general corporate purposes. During the first quarter of 2021 we raised $49,500 through the issuance of convertible notes to further finance our expanded operations and acquisitions. In May 2021, we completed the IPO of our Class A common stock, in which we issued and sold a total of 11,500 shares of Class A common stock, including the underwriters’ over-allotment, at a price of $8.00 per share for net proceeds of approximately $86,065 after deducting underwriting discounts and commissions and certain direct offering expenses paid by us.</w:t>
      </w:r>
    </w:p>
    <w:p>
      <w:pPr>
        <w:spacing w:after="0" w:line="13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June 30, 2021 and December 31, 2020, as well as a net loss for the three and six months ended June 30, 2021 and 2020, and negative cash flows from operating activities during the six months ended June 30, 2021 and 2020,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including capital raised from the Company’s IPO in May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2021 and December 31, 2020, the Company had total current liabilities of $110,224 and $115,285, respectively, and total current assets of $189,398 and $134,178, respectively, which includes cash and cash equivalents of $104,212 and $56,547, respectively, to meet its current obligations. As of June 30, 2021, the Company had working capital of $79,174, compared to $18,893 as of December 31, 2020.</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Approximately 97% and 95% of the Company’s cash and cash equivalents balance as of June 30, 2021 and December 31, 2020,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0"/>
              <w:spacing w:after="0" w:line="169"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690"/>
              <w:spacing w:after="0" w:line="169"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(12,055)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56"/>
        </w:trPr>
        <w:tc>
          <w:tcPr>
            <w:tcW w:w="2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460" w:type="dxa"/>
            <w:vAlign w:val="bottom"/>
          </w:tcPr>
          <w:p>
            <w:pPr>
              <w:spacing w:after="0"/>
              <w:rPr>
                <w:sz w:val="22"/>
                <w:szCs w:val="22"/>
                <w:color w:val="auto"/>
              </w:rPr>
            </w:pPr>
          </w:p>
        </w:tc>
        <w:tc>
          <w:tcPr>
            <w:tcW w:w="1480" w:type="dxa"/>
            <w:vAlign w:val="bottom"/>
          </w:tcPr>
          <w:p>
            <w:pPr>
              <w:ind w:left="840"/>
              <w:spacing w:after="0"/>
              <w:rPr>
                <w:sz w:val="20"/>
                <w:szCs w:val="20"/>
                <w:color w:val="auto"/>
              </w:rPr>
            </w:pPr>
            <w:r>
              <w:rPr>
                <w:rFonts w:ascii="Arial" w:cs="Arial" w:eastAsia="Arial" w:hAnsi="Arial"/>
                <w:sz w:val="18"/>
                <w:szCs w:val="18"/>
                <w:color w:val="auto"/>
                <w:w w:val="92"/>
              </w:rPr>
              <w:t>(71,168)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12,469</w:t>
            </w:r>
          </w:p>
        </w:tc>
      </w:tr>
      <w:tr>
        <w:trPr>
          <w:trHeight w:val="257"/>
        </w:trPr>
        <w:tc>
          <w:tcPr>
            <w:tcW w:w="20" w:type="dxa"/>
            <w:vAlign w:val="bottom"/>
            <w:shd w:val="clear" w:color="auto" w:fill="CCEEFF"/>
          </w:tcPr>
          <w:p>
            <w:pPr>
              <w:spacing w:after="0"/>
              <w:rPr>
                <w:sz w:val="22"/>
                <w:szCs w:val="22"/>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129,338</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increased by $11,617 during the six months ended June 30, 2021, as compared to the six months ended June 30, 2020. The change was primarily driven by: a year-over-year increase in our net loss; increases in non-cash expense items impacting net loss; and increases in net investments in working capital, including inventory, as well as the timing of accounts payable and accrued liabilities, income taxes payable, and accounts receivable.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investing activities was $71,168 during the six months ended June 30, 2021, as compared to net cash provided by investing activities of $12,469 during the six months ended June 30, 2020. The change was primarily driven: by an increase in cash investments in capital assets and cash paid for acquisitions, including the final cash payment to the former owners of an entity acquired in the prior year and the initial cash payments for a current year acquisition; all partially offset by the absence of proceeds from the sale of assets that occurred in the prior year.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provided by financing activities increased by $128,278 during the six months ended June 30, 2021, as compared to the six months ended June 30, 2020. The increase was primarily driven by net proceeds from our IPO and higher proceeds from the issuances of debt, partially offset by the repurchase of warrants in the current year and the absence of proceeds from a financing sale-leaseback transaction that occurred in the prior year.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 and Contingencies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future contractual obligations as of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thousands)</w:t>
            </w:r>
          </w:p>
        </w:tc>
        <w:tc>
          <w:tcPr>
            <w:tcW w:w="21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80" w:type="dxa"/>
            <w:vAlign w:val="bottom"/>
            <w:gridSpan w:val="6"/>
          </w:tcPr>
          <w:p>
            <w:pPr>
              <w:jc w:val="right"/>
              <w:spacing w:after="0"/>
              <w:rPr>
                <w:sz w:val="20"/>
                <w:szCs w:val="20"/>
                <w:color w:val="auto"/>
              </w:rPr>
            </w:pPr>
            <w:r>
              <w:rPr>
                <w:rFonts w:ascii="Arial" w:cs="Arial" w:eastAsia="Arial" w:hAnsi="Arial"/>
                <w:sz w:val="18"/>
                <w:szCs w:val="18"/>
                <w:b w:val="1"/>
                <w:bCs w:val="1"/>
                <w:color w:val="auto"/>
              </w:rPr>
              <w:t>Commitments Due by Period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ind w:left="220"/>
              <w:spacing w:after="0" w:line="182"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3"/>
          </w:tcPr>
          <w:p>
            <w:pPr>
              <w:ind w:left="40"/>
              <w:spacing w:after="0" w:line="182" w:lineRule="exact"/>
              <w:rPr>
                <w:sz w:val="20"/>
                <w:szCs w:val="20"/>
                <w:color w:val="auto"/>
              </w:rPr>
            </w:pPr>
            <w:r>
              <w:rPr>
                <w:rFonts w:ascii="Arial" w:cs="Arial" w:eastAsia="Arial" w:hAnsi="Arial"/>
                <w:sz w:val="18"/>
                <w:szCs w:val="18"/>
                <w:b w:val="1"/>
                <w:bCs w:val="1"/>
                <w:color w:val="auto"/>
                <w:w w:val="99"/>
              </w:rPr>
              <w:t>Remainder of 2021</w:t>
            </w:r>
          </w:p>
        </w:tc>
        <w:tc>
          <w:tcPr>
            <w:tcW w:w="240" w:type="dxa"/>
            <w:vAlign w:val="bottom"/>
          </w:tcPr>
          <w:p>
            <w:pPr>
              <w:spacing w:after="0"/>
              <w:rPr>
                <w:sz w:val="15"/>
                <w:szCs w:val="15"/>
                <w:color w:val="auto"/>
              </w:rPr>
            </w:pPr>
          </w:p>
        </w:tc>
        <w:tc>
          <w:tcPr>
            <w:tcW w:w="13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9"/>
              </w:rPr>
              <w:t>2022 - 2023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5"/>
              </w:rPr>
              <w:t>2024 - 2025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Term notes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gridSpan w:val="3"/>
          </w:tcPr>
          <w:p>
            <w:pPr>
              <w:spacing w:after="0" w:line="230"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Finance arrangements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454,756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Principal payments due under term notes payable.</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w:t>
      </w:r>
    </w:p>
    <w:p>
      <w:pPr>
        <w:spacing w:after="0" w:line="9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Reflects our contractual obligations to make future payments under non-cancelable operating leases that did not meet the criteria to qualify for sale-leaseback treatment.</w:t>
      </w:r>
    </w:p>
    <w:p>
      <w:pPr>
        <w:spacing w:after="0" w:line="55"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the Company submitted an amended state application to acquire BCCO, LLC, a medical dispensary license holder in Ohio for cash consideration of approximately $3,500, subject to certain adjustments at closing. The Company may settle the outstanding balances due under a note receivable and a working capital loan as part of the purchase price at closing. The Company expects the transaction to close in August 2021 and has adequate cash on hand to consummate the proposed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2021, we entered into a definitive investment agreement (the “Investment Agreement”) with MedMen Enterprises Inc. (“MedMen”), under which we will, subject to regulatory approval, complete an investment (the “Investment”) of approximately $73,000 in MedMen NY, Inc. (“MMNY”), a licensed medical cannabis operator in New York. In connection with the investment, and subject to regulatory approval, MMNY will engage our services pursuant to a management agreement (the “Management Agreement”) under which we will advise on MMNY’s operations pending regulatory approval of the Investment transaction.</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terms of the Investment, at closing, MMNY will assume approximately $73,000 of MedMen’s existing secured debt, AWH will invest $35,000 in cash in MMNY, and AWH New York, LLC will issue a senior secured promissory note in favor of MMNY’s senior secured lender in the principal amount of $28,000, guaranteed by AWH, which cash investment and note will be used to reduce the amounts owed to MMNY’s senior secured lender. Following its investment, AWH will hold a controlling interest in MMNY equal to approximately 86.7% of the equity in MMNY, and be provided with an option to acquire MedMen’s remaining interest in MMNY in the future. AWH must also make an additional investment of $10,000 in exchange for additional equity in MMNY, which investment will also be used to repay MMNY’s senior secured lender if adult-use cannabis sales commence in MMNY’s dispensaries. The transactions contemplated by the Investment Agreement are subject to customary closing conditions, including approval from the New York State Department of Health and other applicable regulatory bodies.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anticipate capital expenditures, net of tenant improvement allowances, of approximately $50,000 during the remainder of 2021. This includes new projects we expect to initiate, as well as payments related to projects that began in 2020. We anticipate completing the build-outs of the greenhouse at our Barry, Illinois cultivation facility, the cultivation and processing facility in Lansing, Michigan, the phase 2 expansion at our Athol, Massachusetts cultivation facility, and the initial phase of the expansion of our Franklin, New Jersey cultivation and processing facility. Spending at our cultivation and processing facilities includes both construction and the purchase of capital equipment such as extraction equipment, heating, ventilation, and air conditioning (HVAC) equipment, manufacturing equipment and general maintenance capital expenditures. We expect to complete the build-outs of three total additional dispensaries across Massachusetts, New Jersey, and Michigan that are expected to open in late 2021 or early 2022. Dispensary-related capital expenditures include anticipated costs to rebrand all dispensaries to the Ascend retail brand and general maintenance of the locations.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2021, our construction in progress (“CIP”) balance was $32,983 and relates to capital spending on projects that were not yet complete. This balance includes $16,489 related to the construction of a greenhouse at our Barry, Illinois cultivation facility, the first phase of which is expected to be completed in late 2021. Additionally, $4,811 relates to the expansion of our New Jersey cultivation facility and $4,601 relates to the phase 2 build out at our Athol, Massachusetts cultivation facility. The remaining balance of approximately $7,082 relates to the six licensed dispensaries that were not yet open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have any off-balance-sheet arrangements, as defined by applicable regulations of the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AWH had a management services agreement (“MSA”) with AGP Partners, LLC (“AGP”) under which AGP provided management services to AWH in connection with the monitoring and oversight of AWH’s financial and business functions. The founder of AGP is the Chief Executive Officer and one of the founders of AWH. Pursuant to the MSA, AWH paid AGP a quarterly fee of $100. Pursuant to the terms of the agreement, the MSA was terminated following the Company’s IPO in May 2021. Upon termination, AGP was entitled to receive a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payout that was contingent upon the beneficial owners of AGP who serve as officers of the Company entering into lock-up agreements that extend for 360 days following the Company’s IPO. Pursuant to the MSA, each such lock-up agreement contains a provision whereby AWH’s Board may waive, in whole or in part, such extended lock-up thereto if AWH’s Board determines, in its sole discretion and in accordance with AWH’s governing documents and applicable law, that such waiver will not have an adverse effect on AWH and its equity holders, business, financial condition, and prospects.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recognized expenses related to the MSA of $2,024 and $2,124 during the three and six months ended June 30, 2021, respectively, and $100 and $200 during the three and six months ended June 30, 2020, respectively, that are included in “General and administrative expenses” on the unaudited Condensed Consolidated Statements of Operations in the Financial Statements. A total of $2,024 and $100 of these fees are included in “Accounts payable and other accrued expenses” on the unaudited Condensed Consolidated Balance Sheets in the Financial Statements as of June 30, 2021 and December 31, 2020,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$1,000 of the Company’s convertible notes were with related party entities that are managed by one of the founders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Initial Public Offering</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Conversion on April 22, 2021,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“Equity,” in the Financial Statements for additional details.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Immediately prior to the completion of the Conversion, the Company was authorized to issue Common Units, Preferred Units, and Restricted Common Units, all with no par value. Preferred Units collectively included Series Seed Preferred Units, Series Seed+ Preferred Units, and Real Estate Preferred Units, unless otherwise specified. These share classes are included within “Additional Paid-In Capital” in the unaudited Condensed Consolidated Statements of Changes in Stockholders’ Equity in the Financial Statements on an as-converted to historical common units basis.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4, 2021, the Company completed the IPO of its Class A common stock, in which it issued and sold 10,000 shares of Class A common stock at a price of $8.00 per share. On May 7, 2021, the underwriters exercised their over-allotment option in full and the Company sold 1,500 additional shares of Class A common stock at a price of $8.00 per share. The Company received total net proceeds of $86,065 after deducting underwriting discounts and commissions and certain direct offering expenses paid by us.</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conjunction with the Company’s IPO, each historical common unit converted into one share of Class A common stock, except 65 units that were allocated to shares of Class B common stock. Each Real Estate Preferred Unit converted into Class A common stock at a rate of one plus 1.5x, divided by the IPO price of $8.00 per share, for a total of 26,221 shares of Class A common stocks. The additional 3,420 shares issued per the conversion feature was considered a contingent beneficial conversion feature and was recognized when the conversion event occurred, for a total non-cash interest charge of $27,361. Each Series Seed Preferred Unit and Series Seed+ Preferred Unit converted into shares of Class A common stock on a one-for-one basis. As discussed in Note 11, “Debt,” in the Financial Statements the AWH Promissory Notes, plus accrued interest, converted into 28,478 shares of Class A common stock and the 2021 AWH Convertible Promissory Notes, plus accrued interest, converted into 8,910 shares of Class A common stock.</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a total of 9,994 restricted common shares had been issued under an equity incentive plan, of which 7,990 were vested. The Company recognized $1,711 and $4,198 as compensation expense in connection with the restricted common shares during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expense is included in “General and administrative expenses” on the unaudited Condensed Consolidated Statements of Operations in the Financial Statements and includes additional compensation charges of approximately $733 recognized with the closing of the IPO related to restricted common shares that became fully vested at that time due to acceleration clauses. During the three and six months ended June 30, 2020, the Company recognized $85 and $270, respectively, as compensation expense in connection with the Company’s previous incentive units that were outstanding at that time. As of June 30, 2021, total unrecognized compensation cost related to incentive units was $432, which is expected to be recognized over the weighted-average remaining vesting period of 0.6 years.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also adopted an employee stock purchase plan (the “2021 ESPP”), pursuant to which 4,000 shares of Class A common stock are reserved for issuance thereunder, subject to certain adjustments and other terms. As of the date of this filing, no shares have been issued under the 2021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Cancellation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14, 2021, the Company entered into a warrant cancellation agreement with One Tower Atlantic, LLC, the holder of warrants to acquire 1,094 common units of AWH at an exercise price of $3.20 per unit (the “$3.20 Warrants”). Upon the completion of the IPO, the $3.20 Warrants were cancelled in exchange for a payment of $4,156 (or $7.00 per share calculated in accordance with the cashless exercise provisions of the warrant agreement) that was paid in May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Effective May 5, 2021, the Company completed the previously disclosed acquisition of the parent Company of Hemma, LLC (“Hemma”), the owner of a medical cultivation site in Ohio. The total purchase price of $10,381 consists of cash payments of $2,500, the issuance of a $4,712 sellers’ note, settlement of $2,500 due under a note receivable, settlement of $669 due under a working capital line of credit, and customary working capital adjustments. Refer to Note 4, “Acquisitions,” in the Financial Statements for additional information. The sellers’ note accrues interest at a rate of 12% per annum, and the outstanding principal plus accrued interest is due on December 5, 2021, but may be prepaid without premium or penalty.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29, 2021, a wholly owned subsidiary of the Company entered into a definitive agreement for the sale of certain real estate and related assets of a commercial property located in New Bedford, Massachusetts to a third-party for a total purchase price is $350, subject to certain adjustments. The closing is subject to certain conditions, including entering into an operating lease with the third-party. The Company anticipates this transaction will be accounted for either a sale leaseback transaction or a finance liability, depending on the final lease terms.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September 2019, FPAW Michigan, LLC (“FPAW”), a VIE of the Company at the time then nominally owned by Frank Perullo, co-founder of the Company, through FPAW Michigan 2, Inc. and the Company entered into two agreements to purchase real estate holding companies owning six properties in Michigan that were zoned or to be zoned for the sale of medical or adult use cannabis. As indicated above, the Company accounted for FPAW Michigan 2, Inc. as a VIE, as the Company had the obligation to absorb losses and the right to receive the benefits from the VIE. The acquisition of these properties would allow AWH to expand its operations in Michigan as part of its initial growth strategy. At the time the agreements were signed, the Michigan cannabis market remained in the early stages of development, with adult use sales in the state not commencing until December 2019. While the contracts were being negotiated in 2019, AWH and the parties entered into lease agreements under which FPAW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was permitted to occupy the properties. Operations commenced at one property in September 2020 and at a second property in March 2021. Following the execution of the original agreements in September 2019, three of the six properties to be acquired under the original agreements were deemed not suitable for the intended business purposes due to regulatory developments. Due to the lack of suitability of three of the properties, lower than expected revenue and margins due to increased competition, higher operating costs than anticipated, and lack of vertical integration while FPAW and the Company continued to develop its Michigan cultivation facility, FPAW and AWH and the counterparties reengaged in negotiations relating to the commercial transaction, though such negotiations ended unsuccessfully in September 2020.</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4, 2020, the counterparties to the agreements mentioned above, TVP, LLC, TVP Grand Rapids, LLC, and TVP Alma, LLC (collectively, the “TVP Parties”), filed a complaint in the Circuit Court of the State of Michigan, County of Oakland, asserting claims against FPAW and AWH. The case number for the action was 2020-184972-CB. The TVP Parties alleged that FPAW and AWH had breached the two agreements entered into in September 2019. The TVP Parties asked the court to grant specific performance of the contracts with AWH and FPAW,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AWH and FPAW believed there existed valid defenses to the demand for specific performance due to the lack of suitability of three of the six properties subject to the original transaction agreements.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the litigation proceeded, the Company and FPAW engaged in settlement discussions with the counterparties and determined that settling the dispute so the Company could focus on growing its Michigan business was in the best interest of the Company and FPAW and a better use of Company and FPAW resources and time than continuing to defend the lawsuit and incurring additional litigation fees and expenses. Following such negotiations, on April 14, 2021, the TVP Parties, FPAW and AWH entered into a settlement agreement (the “Settlement Agreement”), which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In addition, on April 14, 2021, upon the execution of the Settlement Agreement, AWH issued 4,770 common units of AWH with a fair value of $26,041 to an escrow account, to be held in the name of the escrow agent (the “Escrow Units”). The total cash payments are approximately $2,000 less than would have otherwise been payable under the agreements. The value of the shares issued have increased significantly between September 2019 when the agreements were initially entered into and the date of the Settlement Agreement. The Escrow Units converted into shares of Class A common stock upon the Conversion in the same manner as all other common units of AWH.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parties intend to work to identify at least two additional sites that will be suitable for future Ascend retail locations, which properties the Company would lease pursuant to market rental terms. The Company and FPAW determined that identifying and developing additional properties that would be suitable for operating cannabis dispensaries was of greater value to the Company than acquiring and subsequently disposing of the other three parcels, as the value of such properties once they were no longer suitable for the Company’s original business purposes was not of material value to the Company. The Put Option is required to be exercised by the TVP Parties within three years of the date of the Settlement Agreement. FPAW and AWH are entitled to use the subject properties until such time as the Put Option is exercised. FPAW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currently operates dispensaries at two of the properties and expects to open a dispensary at the third property by the end of 2021.</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Of the total settlement liability, $5,480 is included within “Accounts payable and accrued expenses” on the accompanying unaudited Condensed Consolidated Balance Sheet in the Financial Statements as of June 30, 2021 and the fair value of the share issuance of $27,431 is reflected within “Reserve for equity issued in litigation settlement” and “Equity issued in litigation settlement” on the unaudited Condensed Consolidated Statement of Changes in Stockholders’ Equity in the Financial Statements. The fair value of the three properties to be acquired per the settlement of $5,400 is recorded within “Other noncurrent assets” in the Financial Statements as of June 30, 2021, and will remain until the time such property titles transfer to the Company. The settlement charge of $36,511 is reflected within “Settlement expense” on the unaudited Condensed Consolidated Statements of Operations in the Financial Statements. The settlement charge is not expected to be deductible for tax purposes.</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reported losses related to FPAW of approximately $3,100 and $6,429 during the three and six months ended June 30, 2021, respectively, and there is no guarantee that the Company’s Michigan operations will become profitable in the future. Cultivation operations commenced in April 2021, and the Company anticipates that revenue and profitability in Michigan will improve as a result of vertical integration. Once vertically integrated, the Company will be able to produce products for sale at our owned dispensaries at a significantly lower cost compared to the cost associated with acquiring product on the wholesale market from third parties. Additionally, the Company opened new dispensaries in September 2020 (which began adult use sales in December 2020) and March 2021, which the Company expects to positively contribute to the Company's 2021 results. The Company also intends to identify additional attractive locations for future retail locations in Michigan. However, despite these developments, Michigan may continue to be a difficult market for us in 2021, as it is more competitive than the other markets in which the Company operates because Michigan does not limit the number of dispensaries or the size of cultivation facilities. As of the date of this Quarterly Report on Form 10-Q, there are over 300 dispensaries in Michigan and due to the significant retail competition in this market, we expect our sales per retail location and gross margins in this market to be below our average across the portfolio.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Dispute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“Convertible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Convertible Note Purchase Agreement (the “Amended Notes Consent”), which was approved by holders of approximately 66% of the principal amount of the Convertible Notes, in excess of the simple majority required to amend the Convertible Notes. The Amended Notes Consent set the conversion price of the Convertible Notes at $2.96 per share. The Claimants allege that the Amended Notes Consent was obtained improperly and is void, and seek damages in excess of $20,000. The Company disputes the Claimants’ allegations and believes the Amended Notes Consent was properly obtained in accordance with the terms of the Convertible Notes and 2019 Convertible Note Purchase Agreement and the Amended Notes are binding on all holders of the Convertible Notes. The Company intends to vigorously defend against what it views as meritless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accompanying Financial Statements are prepared in accordance with GAAP, which require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There have been no significant changes to our critical accounting policies and estimates. For a description of our critical accounting policies, see “Management’s Discussion and Analysis of Financial Condition and Results of Operations,” in our Registration Statement on Form S-1, as amended, filed with the U.S. Securities and Exchange Commission on April 26,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and Recently Issued Accounting Pronouncements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about our recently adopted accounting standards and recently issued accounting standards not yet adopted, see Note 2, “Basis of Presentation and Significant Accounting Policies,” of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We mitigate these risks by assessing, monitoring and approving our risk management processes.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June 30, 2021 is the carrying amount of cash and cash equivalents. We do not have significant credit risk with respect to our customers. All cash and cash equivalents are placed with major U.S. financial institutions.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reflected in the Financial Statements, the Company had an accumulated deficit as of June 30, 2021 and December 31, 2020, as well as a net loss for the three and six months ended June 30, 2021 and 2020, and negative cash flows from operating activities during the six months ended June 30, 2021 and 2020,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including capital raised from the Company’s IPO in May 2021,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range of factors that might include changing economic and political circumstances and regulatory approvals and competitor actions. We seek to mitigate such risks by consideration of potential development opportunities and challenges.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Price Risk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 increase could have an impact on our customers’ demand for our products, and we are not able to quantify the impact of such potential change in demand on our annual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monitoring COVID-19 closely, and although our operations have not been materially affected by the COVID-19 outbreak to date, the ultimate severity of the outbreak and its impact on the economic environment is uncertain. Our operations are ongoing as the cultivation, processing and sale of cannabis products is currently considered an essential business by the states in which we operate with respect to all customers (except for Massachusetts, where cannabis has been deemed essential only for medical patients). In all locations where regulations have been enabled by governmental authorities, we have expanded consumer delivery options and curbside pickup to help protect the health and safety of our employees and customers. 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 or a change in our designation as “essential” in states where we do business that currently or in the future impose restrictions on business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and due to the material weakness in internal controls described below, our Principal Executive Officer and Principal Financial Officer concluded that as of the end of the period covered by this report, our disclosure controls and procedures were not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previously disclosed in the Company’s Quarterly Report on Form 10-Q for the quarterly period ended March 31, 2021, the Company’s management identified a material weakness related to the maintenance and updating of vendor records in connection with the accounts payable cycle that occurred during the three months ended March 31, 2021. The material weakness did not result in a material misstatement of the Company’s financial statements included in this report, the Quarterly Report on Form 10-Q for the quarterly period ended March 31, 2021, or in other periodic filings. Management took immediate action to remediate the material weakness, including enhancing and better defining cash disbursement controls to prevent and timely detect unauthorized cash disbursements. We continue to test the controls implemented during the second quarter to assess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controls are operating effectively. While there can be no assurance, we believe this material weakness will be remediated during the third quarter of 2021. Notwithstanding the identified material weakness as of June 30, 2021, the Company’s management believes that the financial statements, and the notes thereto, included in this Quarterly Report on Form 10-Q present fairly in all material respects our financial position, results of operations, and cash flows for the periods presented.</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than as described above, 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discussion of our litigation matters occurring in the period covered by this report is found in </w:t>
      </w:r>
      <w:hyperlink w:anchor="page29">
        <w:r>
          <w:rPr>
            <w:rFonts w:ascii="Arial" w:cs="Arial" w:eastAsia="Arial" w:hAnsi="Arial"/>
            <w:sz w:val="18"/>
            <w:szCs w:val="18"/>
            <w:u w:val="single" w:color="auto"/>
            <w:color w:val="0000FF"/>
          </w:rPr>
          <w:t>Note 15</w:t>
        </w:r>
      </w:hyperlink>
      <w:r>
        <w:rPr>
          <w:rFonts w:ascii="Arial" w:cs="Arial" w:eastAsia="Arial" w:hAnsi="Arial"/>
          <w:sz w:val="18"/>
          <w:szCs w:val="18"/>
          <w:color w:val="auto"/>
        </w:rPr>
        <w:t>, “Commitments and Contingencies,” to the Financial Statements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II, Item 1A, of our Quarterly Report on Form 10-Q for the quarter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4, 2021, we completed the initial public offering of our Class A common stock pursuant to a Registration Statement on Form S-1 (File No. 333-254800) (the “Registration Statement”) which was declared effective on April 28, 2021 and a Supplemented PREP Prospectus dated April 28, 2021 (the “Canadian Prospectus,” and together with the Registration Statement, the “Offering Documents”). Under the Offering Documents, we sold 10.0 million shares of our Class A common stock at a price of $8.00 per share and granted the underwriters an option to sell an additional 1.5 million shares of Class A common stock pursuant to an over-allotment option which they had 30 days to exercise, and which they did exercise in full on May 7, 2021. Total proceeds were approximately $86.1 million, net of underwriting discounts and commissions and other direct offering expenses paid by us. We incurred other expenses related to the initial public offering of approximately $1.5 million. All of the underwriting discounts and other expenses were direct or indirect payments to persons other than: (i) our directors, officers, or any of their associates; (ii) persons owning ten percent (10%) or more of our common stock; or (iii) our affiliates. There has been no material change in the planned use of proceeds as described in the Offering Documents and our Form 10-Q for the quarter ended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 INDEX</w:t>
      </w:r>
    </w:p>
    <w:p>
      <w:pPr>
        <w:spacing w:after="0" w:line="22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101.INS*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104*</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27" w:lineRule="exact"/>
        <w:rPr>
          <w:sz w:val="20"/>
          <w:szCs w:val="20"/>
          <w:color w:val="auto"/>
        </w:rPr>
      </w:pPr>
    </w:p>
    <w:p>
      <w:pPr>
        <w:ind w:left="600" w:hanging="268"/>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860"/>
        <w:spacing w:after="0" w:line="235" w:lineRule="auto"/>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Ascend Wellness Holdings, Inc. 2021 Stock Incentive Plan (incorporated by reference to Exhibit 4.2 of the Registrant’s</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Registration Statement on Form S-8, filed with the SEC on July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-256540</wp:posOffset>
            </wp:positionV>
            <wp:extent cx="692658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926580" cy="257175"/>
                    </a:xfrm>
                    <a:prstGeom prst="rect">
                      <a:avLst/>
                    </a:prstGeom>
                    <a:noFill/>
                  </pic:spPr>
                </pic:pic>
              </a:graphicData>
            </a:graphic>
          </wp:anchor>
        </w:drawing>
      </w:r>
    </w:p>
    <w:p>
      <w:pPr>
        <w:ind w:right="100"/>
        <w:spacing w:after="0" w:line="234"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Ascend Wellness Holdings, Inc. 2021 Employee Stock Purchase Plan (incorporated by reference to Exhibit 4.3 of the Registrant’s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Registration Statement on Form S-8, filed with the SEC on July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635</wp:posOffset>
            </wp:positionV>
            <wp:extent cx="6926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Periodic Report by Principal Executive Officer under Section 302 of the Sarbanes-Oxley Act of 2002.</w:t>
        </w:r>
      </w:hyperlink>
    </w:p>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 of Periodic Report by Principal Financial Officer under Section 302 of the Sarbanes-Oxley Act of 2002.</w:t>
        </w:r>
      </w:hyperlink>
    </w:p>
    <w:p>
      <w:pPr>
        <w:spacing w:after="0" w:line="63"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-256540</wp:posOffset>
            </wp:positionV>
            <wp:extent cx="692658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926580" cy="257175"/>
                    </a:xfrm>
                    <a:prstGeom prst="rect">
                      <a:avLst/>
                    </a:prstGeom>
                    <a:noFill/>
                  </pic:spPr>
                </pic:pic>
              </a:graphicData>
            </a:graphic>
          </wp:anchor>
        </w:drawing>
      </w:r>
    </w:p>
    <w:p>
      <w:pPr>
        <w:ind w:right="240"/>
        <w:spacing w:after="0" w:line="234" w:lineRule="auto"/>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635</wp:posOffset>
            </wp:positionV>
            <wp:extent cx="6926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14605</wp:posOffset>
            </wp:positionV>
            <wp:extent cx="6926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14605</wp:posOffset>
            </wp:positionV>
            <wp:extent cx="6926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Inline XBRL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837" w:lineRule="exact"/>
        <w:rPr>
          <w:sz w:val="20"/>
          <w:szCs w:val="20"/>
          <w:color w:val="auto"/>
        </w:rPr>
      </w:pPr>
    </w:p>
    <w:p>
      <w:pPr>
        <w:sectPr>
          <w:pgSz w:w="11900" w:h="16838" w:orient="portrait"/>
          <w:cols w:equalWidth="0" w:num="2">
            <w:col w:w="1580" w:space="140"/>
            <w:col w:w="9440"/>
          </w:cols>
          <w:pgMar w:left="320" w:top="1440" w:right="419" w:bottom="1440" w:gutter="0" w:footer="0" w:header="0"/>
          <w:type w:val="continuous"/>
        </w:sectPr>
      </w:pPr>
    </w:p>
    <w:p>
      <w:pPr>
        <w:ind w:left="660" w:hanging="328"/>
        <w:spacing w:after="0" w:line="296" w:lineRule="auto"/>
        <w:tabs>
          <w:tab w:leader="none" w:pos="606" w:val="left"/>
        </w:tabs>
        <w:numPr>
          <w:ilvl w:val="0"/>
          <w:numId w:val="21"/>
        </w:numPr>
        <w:rPr>
          <w:rFonts w:ascii="Arial" w:cs="Arial" w:eastAsia="Arial" w:hAnsi="Arial"/>
          <w:sz w:val="17"/>
          <w:szCs w:val="17"/>
          <w:color w:val="auto"/>
        </w:rPr>
      </w:pPr>
      <w:r>
        <w:rPr>
          <w:rFonts w:ascii="Arial" w:cs="Arial" w:eastAsia="Arial" w:hAnsi="Arial"/>
          <w:sz w:val="15"/>
          <w:szCs w:val="15"/>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53" w:name="page54"/>
    <w:bookmarkEnd w:id="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b w:val="1"/>
                <w:bCs w:val="1"/>
                <w:color w:val="auto"/>
                <w:w w:val="87"/>
              </w:rPr>
              <w:t>Ascend Wellness Holdings, Inc.</w:t>
            </w:r>
          </w:p>
        </w:tc>
      </w:tr>
      <w:tr>
        <w:trPr>
          <w:trHeight w:val="364"/>
        </w:trPr>
        <w:tc>
          <w:tcPr>
            <w:tcW w:w="4120" w:type="dxa"/>
            <w:vAlign w:val="bottom"/>
            <w:gridSpan w:val="2"/>
          </w:tcPr>
          <w:p>
            <w:pPr>
              <w:spacing w:after="0"/>
              <w:rPr>
                <w:sz w:val="20"/>
                <w:szCs w:val="20"/>
                <w:color w:val="auto"/>
              </w:rPr>
            </w:pPr>
            <w:r>
              <w:rPr>
                <w:rFonts w:ascii="Arial" w:cs="Arial" w:eastAsia="Arial" w:hAnsi="Arial"/>
                <w:sz w:val="18"/>
                <w:szCs w:val="18"/>
                <w:color w:val="auto"/>
              </w:rPr>
              <w:t>August 13, 2021</w:t>
            </w: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 Daniel Neville</w:t>
            </w:r>
          </w:p>
        </w:tc>
      </w:tr>
      <w:tr>
        <w:trPr>
          <w:trHeight w:val="20"/>
        </w:trPr>
        <w:tc>
          <w:tcPr>
            <w:tcW w:w="12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Daniel Neville</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Chief Financial Officer</w:t>
            </w:r>
          </w:p>
        </w:tc>
      </w:tr>
      <w:tr>
        <w:trPr>
          <w:trHeight w:val="230"/>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4120" w:type="dxa"/>
            <w:vAlign w:val="bottom"/>
            <w:gridSpan w:val="2"/>
          </w:tcPr>
          <w:p>
            <w:pPr>
              <w:spacing w:after="0"/>
              <w:rPr>
                <w:sz w:val="20"/>
                <w:szCs w:val="20"/>
                <w:color w:val="auto"/>
              </w:rPr>
            </w:pPr>
            <w:r>
              <w:rPr>
                <w:rFonts w:ascii="Arial" w:cs="Arial" w:eastAsia="Arial" w:hAnsi="Arial"/>
                <w:sz w:val="18"/>
                <w:szCs w:val="18"/>
                <w:color w:val="auto"/>
              </w:rPr>
              <w:t>August 13, 2021</w:t>
            </w: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 Roman Nemchenko</w:t>
            </w:r>
          </w:p>
        </w:tc>
      </w:tr>
      <w:tr>
        <w:trPr>
          <w:trHeight w:val="20"/>
        </w:trPr>
        <w:tc>
          <w:tcPr>
            <w:tcW w:w="12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Roman Nemchenko</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Senior Vice President,</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Chief Accounting Officer</w:t>
            </w:r>
          </w:p>
        </w:tc>
      </w:tr>
      <w:tr>
        <w:trPr>
          <w:trHeight w:val="230"/>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Abner Kurtin, certify that:</w:t>
      </w:r>
    </w:p>
    <w:p>
      <w:pPr>
        <w:spacing w:after="0" w:line="17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13,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29"/>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Neville, certify that:</w:t>
      </w:r>
    </w:p>
    <w:p>
      <w:pPr>
        <w:spacing w:after="0" w:line="17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13,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Ascend Wellness Holdings, Inc. (the “Company”) for the quarter ended March 31, 2021, as filed with the Securities and Exchange Commission on the date hereof (the “Report”), Abner Kurtin,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17"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13,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7880" w:type="dxa"/>
            <w:vAlign w:val="bottom"/>
          </w:tcPr>
          <w:p>
            <w:pPr>
              <w:spacing w:after="0"/>
              <w:rPr>
                <w:sz w:val="20"/>
                <w:szCs w:val="20"/>
                <w:color w:val="auto"/>
              </w:rPr>
            </w:pPr>
            <w:r>
              <w:rPr>
                <w:rFonts w:ascii="Arial" w:cs="Arial" w:eastAsia="Arial" w:hAnsi="Arial"/>
                <w:sz w:val="18"/>
                <w:szCs w:val="18"/>
                <w:color w:val="auto"/>
              </w:rPr>
              <w:t>August 13, 2021</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endash "/>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2" Type="http://schemas.openxmlformats.org/officeDocument/2006/relationships/hyperlink" Target="https://www.sec.gov/Archives/edgar/data/1756390/000162828021013670/exhibit42-sx8.htm" TargetMode="External"/><Relationship Id="rId94" Type="http://schemas.openxmlformats.org/officeDocument/2006/relationships/hyperlink" Target="https://www.sec.gov/Archives/edgar/data/1756390/000162828021013670/exhibit43-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2021-08-13T15:58:25Z</dcterms:created>
  <dcterms:modified xsi:type="dcterms:W3CDTF">2021-08-13T15:58:25Z</dcterms:modified>
</cp:coreProperties>
</file>