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24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from______ to______</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Commission File Number: 333-254800 </w:t>
      </w:r>
    </w:p>
    <w:p>
      <w:pPr>
        <w:pStyle w:val="TextBody"/>
        <w:bidi w:val="0"/>
        <w:spacing w:before="0" w:after="0"/>
        <w:jc w:val="center"/>
        <w:rPr/>
      </w:pPr>
      <w:r>
        <w:rPr/>
        <w:drawing>
          <wp:inline distT="0" distB="0" distL="0" distR="0">
            <wp:extent cx="23812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76300"/>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ASCEND WELLNESS HOLDINGS, INC.</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83-0602006</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44 Whippany Rd.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Suite 101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Morristown, NJ 07960</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(646) 661-7600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tbl>
      <w:tblPr>
        <w:tblW w:w="7552" w:type="dxa"/>
        <w:jc w:val="center"/>
        <w:tblInd w:w="0" w:type="dxa"/>
        <w:tblLayout w:type="fixed"/>
        <w:tblCellMar>
          <w:top w:w="28" w:type="dxa"/>
          <w:left w:w="28" w:type="dxa"/>
          <w:bottom w:w="28" w:type="dxa"/>
          <w:right w:w="28" w:type="dxa"/>
        </w:tblCellMar>
      </w:tblPr>
      <w:tblGrid>
        <w:gridCol w:w="570"/>
        <w:gridCol w:w="499"/>
        <w:gridCol w:w="505"/>
        <w:gridCol w:w="109"/>
        <w:gridCol w:w="109"/>
        <w:gridCol w:w="109"/>
        <w:gridCol w:w="539"/>
        <w:gridCol w:w="539"/>
        <w:gridCol w:w="541"/>
        <w:gridCol w:w="109"/>
        <w:gridCol w:w="109"/>
        <w:gridCol w:w="109"/>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November 6, 2025, there were 202,269,004 shares of the registrant’s Class A common stock, par value $0.001, and 65,000 shares of the registrant’s Class B common stock, par value $0.001,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351" w:type="dxa"/>
        <w:jc w:val="left"/>
        <w:tblInd w:w="0" w:type="dxa"/>
        <w:tblLayout w:type="fixed"/>
        <w:tblCellMar>
          <w:top w:w="28" w:type="dxa"/>
          <w:left w:w="28" w:type="dxa"/>
          <w:bottom w:w="28" w:type="dxa"/>
          <w:right w:w="28" w:type="dxa"/>
        </w:tblCellMar>
      </w:tblPr>
      <w:tblGrid>
        <w:gridCol w:w="2891"/>
        <w:gridCol w:w="2542"/>
        <w:gridCol w:w="2546"/>
        <w:gridCol w:w="109"/>
        <w:gridCol w:w="109"/>
        <w:gridCol w:w="154"/>
      </w:tblGrid>
      <w:tr>
        <w:trPr/>
        <w:tc>
          <w:tcPr>
            <w:tcW w:w="2891"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0">
              <w:r>
                <w:rPr>
                  <w:rStyle w:val="InternetLink"/>
                  <w:rFonts w:ascii="Times New Roman;serif" w:hAnsi="Times New Roman;serif"/>
                  <w:b/>
                  <w:strike w:val="false"/>
                  <w:dstrike w:val="false"/>
                  <w:color w:val="000000"/>
                  <w:sz w:val="20"/>
                  <w:u w:val="none"/>
                  <w:effect w:val="non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0">
              <w:r>
                <w:rPr>
                  <w:rStyle w:val="InternetLink"/>
                  <w:rFonts w:ascii="Times New Roman;serif" w:hAnsi="Times New Roman;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3">
              <w:r>
                <w:rPr>
                  <w:rStyle w:val="InternetLink"/>
                  <w:rFonts w:ascii="Times New Roman;serif" w:hAnsi="Times New Roman;serif"/>
                  <w:b/>
                  <w:strike w:val="false"/>
                  <w:dstrike w:val="false"/>
                  <w:color w:val="000000"/>
                  <w:sz w:val="20"/>
                  <w:u w:val="none"/>
                  <w:effect w:val="non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3">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6">
              <w:r>
                <w:rPr>
                  <w:rStyle w:val="InternetLink"/>
                  <w:rFonts w:ascii="Times New Roman;serif" w:hAnsi="Times New Roman;serif"/>
                  <w:b w:val="false"/>
                  <w:strike w:val="false"/>
                  <w:dstrike w:val="false"/>
                  <w:color w:val="000000"/>
                  <w:sz w:val="20"/>
                  <w:u w:val="none"/>
                  <w:effect w:val="none"/>
                </w:rPr>
                <w:t>Item 1. 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6">
              <w:r>
                <w:rPr>
                  <w:rStyle w:val="InternetLink"/>
                  <w:rFonts w:ascii="Times New Roman;serif" w:hAnsi="Times New Roman;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00">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00">
              <w:r>
                <w:rPr>
                  <w:rStyle w:val="InternetLink"/>
                  <w:rFonts w:ascii="Times New Roman;serif" w:hAnsi="Times New Roman;serif"/>
                  <w:b w:val="false"/>
                  <w:color w:val="0000FF"/>
                  <w:sz w:val="20"/>
                  <w:u w:val="singl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33">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33">
              <w:r>
                <w:rPr>
                  <w:rStyle w:val="InternetLink"/>
                  <w:rFonts w:ascii="Times New Roman;serif" w:hAnsi="Times New Roman;serif"/>
                  <w:b w:val="false"/>
                  <w:color w:val="0000FF"/>
                  <w:sz w:val="20"/>
                  <w:u w:val="single"/>
                </w:rPr>
                <w:t>64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36">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36">
              <w:r>
                <w:rPr>
                  <w:rStyle w:val="InternetLink"/>
                  <w:rFonts w:ascii="Times New Roman;serif" w:hAnsi="Times New Roman;serif"/>
                  <w:b w:val="false"/>
                  <w:color w:val="0000FF"/>
                  <w:sz w:val="20"/>
                  <w:u w:val="single"/>
                </w:rPr>
                <w:t>65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39">
              <w:r>
                <w:rPr>
                  <w:rStyle w:val="InternetLink"/>
                  <w:rFonts w:ascii="Times New Roman;serif" w:hAnsi="Times New Roman;serif"/>
                  <w:b/>
                  <w:strike w:val="false"/>
                  <w:dstrike w:val="false"/>
                  <w:color w:val="000000"/>
                  <w:sz w:val="20"/>
                  <w:u w:val="none"/>
                  <w:effect w:val="non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39">
              <w:r>
                <w:rPr>
                  <w:rStyle w:val="InternetLink"/>
                  <w:rFonts w:ascii="Times New Roman;serif" w:hAnsi="Times New Roman;serif"/>
                  <w:b w:val="false"/>
                  <w:color w:val="0000FF"/>
                  <w:sz w:val="20"/>
                  <w:u w:val="single"/>
                </w:rPr>
                <w:t>66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42">
              <w:r>
                <w:rPr>
                  <w:rStyle w:val="InternetLink"/>
                  <w:rFonts w:ascii="Times New Roman;serif" w:hAnsi="Times New Roman;serif"/>
                  <w:b w:val="false"/>
                  <w:strike w:val="false"/>
                  <w:dstrike w:val="false"/>
                  <w:color w:val="000000"/>
                  <w:sz w:val="20"/>
                  <w:u w:val="none"/>
                  <w:effect w:val="non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42">
              <w:r>
                <w:rPr>
                  <w:rStyle w:val="InternetLink"/>
                  <w:rFonts w:ascii="Times New Roman;serif" w:hAnsi="Times New Roman;serif"/>
                  <w:b w:val="false"/>
                  <w:color w:val="0000FF"/>
                  <w:sz w:val="20"/>
                  <w:u w:val="single"/>
                </w:rPr>
                <w:t>66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45">
              <w:r>
                <w:rPr>
                  <w:rStyle w:val="InternetLink"/>
                  <w:rFonts w:ascii="Times New Roman;serif" w:hAnsi="Times New Roman;serif"/>
                  <w:b w:val="false"/>
                  <w:strike w:val="false"/>
                  <w:dstrike w:val="false"/>
                  <w:color w:val="000000"/>
                  <w:sz w:val="20"/>
                  <w:u w:val="none"/>
                  <w:effect w:val="non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45">
              <w:r>
                <w:rPr>
                  <w:rStyle w:val="InternetLink"/>
                  <w:rFonts w:ascii="Times New Roman;serif" w:hAnsi="Times New Roman;serif"/>
                  <w:b w:val="false"/>
                  <w:color w:val="0000FF"/>
                  <w:sz w:val="20"/>
                  <w:u w:val="single"/>
                </w:rPr>
                <w:t>66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48">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48">
              <w:r>
                <w:rPr>
                  <w:rStyle w:val="InternetLink"/>
                  <w:rFonts w:ascii="Times New Roman;serif" w:hAnsi="Times New Roman;serif"/>
                  <w:b w:val="false"/>
                  <w:color w:val="0000FF"/>
                  <w:sz w:val="20"/>
                  <w:u w:val="single"/>
                </w:rPr>
                <w:t>66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51">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51">
              <w:r>
                <w:rPr>
                  <w:rStyle w:val="InternetLink"/>
                  <w:rFonts w:ascii="Times New Roman;serif" w:hAnsi="Times New Roman;serif"/>
                  <w:b w:val="false"/>
                  <w:color w:val="0000FF"/>
                  <w:sz w:val="20"/>
                  <w:u w:val="single"/>
                </w:rPr>
                <w:t>66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54">
              <w:r>
                <w:rPr>
                  <w:rStyle w:val="InternetLink"/>
                  <w:rFonts w:ascii="Times New Roman;serif" w:hAnsi="Times New Roman;serif"/>
                  <w:b w:val="false"/>
                  <w:strike w:val="false"/>
                  <w:dstrike w:val="false"/>
                  <w:color w:val="000000"/>
                  <w:sz w:val="20"/>
                  <w:u w:val="none"/>
                  <w:effect w:val="none"/>
                </w:rPr>
                <w:t>Item 4. Mine Safety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54">
              <w:r>
                <w:rPr>
                  <w:rStyle w:val="InternetLink"/>
                  <w:rFonts w:ascii="Times New Roman;serif" w:hAnsi="Times New Roman;serif"/>
                  <w:b w:val="false"/>
                  <w:color w:val="0000FF"/>
                  <w:sz w:val="20"/>
                  <w:u w:val="single"/>
                </w:rPr>
                <w:t>66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57">
              <w:r>
                <w:rPr>
                  <w:rStyle w:val="InternetLink"/>
                  <w:rFonts w:ascii="Times New Roman;serif" w:hAnsi="Times New Roman;serif"/>
                  <w:b w:val="false"/>
                  <w:strike w:val="false"/>
                  <w:dstrike w:val="false"/>
                  <w:color w:val="000000"/>
                  <w:sz w:val="20"/>
                  <w:u w:val="none"/>
                  <w:effect w:val="non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57">
              <w:r>
                <w:rPr>
                  <w:rStyle w:val="InternetLink"/>
                  <w:rFonts w:ascii="Times New Roman;serif" w:hAnsi="Times New Roman;serif"/>
                  <w:b w:val="false"/>
                  <w:color w:val="0000FF"/>
                  <w:sz w:val="20"/>
                  <w:u w:val="single"/>
                </w:rPr>
                <w:t>67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60">
              <w:r>
                <w:rPr>
                  <w:rStyle w:val="InternetLink"/>
                  <w:rFonts w:ascii="Times New Roman;serif" w:hAnsi="Times New Roman;serif"/>
                  <w:b w:val="false"/>
                  <w:strike w:val="false"/>
                  <w:dstrike w:val="false"/>
                  <w:color w:val="000000"/>
                  <w:sz w:val="20"/>
                  <w:u w:val="none"/>
                  <w:effect w:val="non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60">
              <w:r>
                <w:rPr>
                  <w:rStyle w:val="InternetLink"/>
                  <w:rFonts w:ascii="Times New Roman;serif" w:hAnsi="Times New Roman;serif"/>
                  <w:b w:val="false"/>
                  <w:color w:val="0000FF"/>
                  <w:sz w:val="20"/>
                  <w:u w:val="single"/>
                </w:rPr>
                <w:t>68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3d0c3bf0a44d6f85eed184c92bbbe5_163">
              <w:r>
                <w:rPr>
                  <w:rStyle w:val="InternetLink"/>
                  <w:rFonts w:ascii="Times New Roman;serif" w:hAnsi="Times New Roman;serif"/>
                  <w:b/>
                  <w:strike w:val="false"/>
                  <w:dstrike w:val="false"/>
                  <w:color w:val="000000"/>
                  <w:sz w:val="20"/>
                  <w:u w:val="none"/>
                  <w:effect w:val="non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d0c3bf0a44d6f85eed184c92bbbe5_163">
              <w:r>
                <w:rPr>
                  <w:rStyle w:val="InternetLink"/>
                  <w:rFonts w:ascii="Times New Roman;serif" w:hAnsi="Times New Roman;serif"/>
                  <w:b w:val="false"/>
                  <w:color w:val="0000FF"/>
                  <w:sz w:val="20"/>
                  <w:u w:val="single"/>
                </w:rPr>
                <w:t>70</w:t>
              </w:r>
            </w:hyperlink>
          </w:p>
        </w:tc>
      </w:tr>
    </w:tbl>
    <w:p>
      <w:pPr>
        <w:pStyle w:val="TextBody"/>
        <w:bidi w:val="0"/>
        <w:spacing w:before="0" w:after="180"/>
        <w:ind w:left="0" w:right="0" w:firstLine="720"/>
        <w:jc w:val="right"/>
        <w:rPr/>
      </w:pPr>
      <w:r>
        <w:rPr/>
      </w:r>
    </w:p>
    <w:p>
      <w:pPr>
        <w:pStyle w:val="TextBody"/>
        <w:bidi w:val="0"/>
        <w:spacing w:before="0" w:after="180"/>
        <w:ind w:left="0" w:right="0" w:firstLine="72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“potential,”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the volatility of the market price and liquidity risks on shares of our Class A common stock;</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the voting control exercised by holders of Class B common stock;</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attract and maintain, and our reliance on, key personnel;</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continue to open new dispensaries and cultivation facilities and grow as anticipated;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illegality of cannabis under federal law;</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comply with state and federal regulations;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uncertainty regarding enforcement of cannabis laws in the U.S.;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restricted access to banking and other financial services;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constraints on marketing and risks related to our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unfavorable tax treatment for cannabis businesses;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proposed legislation on our tax liabilities and financial performance;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risks related to U.S. tax provisions related to controlled substances;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security risks;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infringement or misappropriation claims by third parties;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comply with potential future U.S. Food and Drug Administration (“FDA”) regulations;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ability to enforce our contracts;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unfavorable publicity or consumer perception;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risks related to material acquisitions, dispositions, and other strategic transactions;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agricultural and environmental risks;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climate change;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risks related to information technology systems;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unknown health impacts associated with the use of cannabis and cannabis derivative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product liability claims and other litigation to which we may be subjected;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risks related to the results of future clinical research;</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intense competition in the cannabis industry;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the maturation of the cannabis market;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adverse changes in wholesale and retail prices;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sustained inflation;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political and economic instability;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effect of outbreaks of pandemic diseases, fear of such outbreaks or economic disturbances due to such outbreaks;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 of general economic risks, such as the unemployment level, interest rates, and inflation, and challenging global economic conditions.</w:t>
      </w:r>
      <w:r>
        <w:rPr>
          <w:color w:val="EE2724"/>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list of factors above is illustrative and by no means exhaustive. Additional information regarding these risks and other risks and uncertainties we face is contained in our Annual Report on Form 10-K for the year ended December 31, 2024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The forward-looking statements contained in this Form 10-Q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11"/>
        <w:gridCol w:w="2150"/>
        <w:gridCol w:w="2158"/>
        <w:gridCol w:w="248"/>
        <w:gridCol w:w="934"/>
        <w:gridCol w:w="138"/>
        <w:gridCol w:w="109"/>
        <w:gridCol w:w="109"/>
        <w:gridCol w:w="109"/>
        <w:gridCol w:w="241"/>
        <w:gridCol w:w="905"/>
        <w:gridCol w:w="193"/>
      </w:tblGrid>
      <w:tr>
        <w:trPr/>
        <w:tc>
          <w:tcPr>
            <w:tcW w:w="291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u w:val="single"/>
              </w:rPr>
            </w:pPr>
            <w:r>
              <w:rPr>
                <w:rFonts w:ascii="Times New Roman;serif" w:hAnsi="Times New Roman;serif"/>
                <w:b w:val="false"/>
                <w:i/>
                <w:color w:val="000000"/>
                <w:sz w:val="14"/>
                <w:u w:val="single"/>
              </w:rPr>
              <w:t>(in thousands, except per share amounts)</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88,254 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89,552 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209,214 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229,376 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288,903 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260,461 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139,067 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205,502 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49,599 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900,362 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900,431 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59,435 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 net</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lease liabilities, current </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144,541 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343,749 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234,542 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267,221 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158,887 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897,784 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828,630 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per share; 10,000 shares authorized, none issued and outstanding as of September 30, 2025 and December 31, 2024</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 750,000 shares authorized; 202,547 and 204,961 shares issued and outstanding at September 30, 2025 and December 31, 2024</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Class B common stock, $0.001 par value per share, 100 shares authorized; 65 issued and outstanding at September 30, 2025 and December 31, 2024</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(469,846)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(400,356)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of Ascend Wellness Holdings, Inc. common stockholders</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70,978 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71,801 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900,362 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900,431 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3225"/>
                <wp:effectExtent l="0" t="0" r="0" b="0"/>
                <wp:wrapNone/>
                <wp:docPr id="7" name="Frame6"/>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11"/>
        <w:gridCol w:w="1499"/>
        <w:gridCol w:w="150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20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u w:val="single"/>
              </w:rPr>
            </w:pPr>
            <w:r>
              <w:rPr>
                <w:rFonts w:ascii="Times New Roman;serif" w:hAnsi="Times New Roman;serif"/>
                <w:b w:val="false"/>
                <w:i/>
                <w:color w:val="000000"/>
                <w:sz w:val="14"/>
                <w:u w:val="single"/>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(loss)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Other (expense) income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Net loss per share attributable to Class A and Class B common stockholders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03225"/>
                <wp:effectExtent l="0" t="0" r="0" b="0"/>
                <wp:wrapNone/>
                <wp:docPr id="8" name="Frame7"/>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4"/>
        <w:gridCol w:w="325"/>
        <w:gridCol w:w="310"/>
        <w:gridCol w:w="368"/>
        <w:gridCol w:w="368"/>
        <w:gridCol w:w="196"/>
        <w:gridCol w:w="109"/>
        <w:gridCol w:w="109"/>
        <w:gridCol w:w="109"/>
        <w:gridCol w:w="197"/>
        <w:gridCol w:w="424"/>
        <w:gridCol w:w="109"/>
        <w:gridCol w:w="109"/>
        <w:gridCol w:w="109"/>
        <w:gridCol w:w="109"/>
        <w:gridCol w:w="208"/>
        <w:gridCol w:w="782"/>
        <w:gridCol w:w="115"/>
        <w:gridCol w:w="111"/>
        <w:gridCol w:w="111"/>
        <w:gridCol w:w="111"/>
        <w:gridCol w:w="201"/>
        <w:gridCol w:w="776"/>
        <w:gridCol w:w="111"/>
        <w:gridCol w:w="111"/>
        <w:gridCol w:w="111"/>
        <w:gridCol w:w="111"/>
        <w:gridCol w:w="272"/>
        <w:gridCol w:w="744"/>
        <w:gridCol w:w="114"/>
        <w:gridCol w:w="109"/>
        <w:gridCol w:w="109"/>
        <w:gridCol w:w="109"/>
        <w:gridCol w:w="255"/>
        <w:gridCol w:w="548"/>
        <w:gridCol w:w="143"/>
        <w:gridCol w:w="109"/>
        <w:gridCol w:w="109"/>
        <w:gridCol w:w="109"/>
        <w:gridCol w:w="196"/>
        <w:gridCol w:w="646"/>
        <w:gridCol w:w="169"/>
      </w:tblGrid>
      <w:tr>
        <w:trPr/>
        <w:tc>
          <w:tcPr>
            <w:tcW w:w="65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Attributable to Ascend Wellness Holdings, Inc. Common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u w:val="single"/>
              </w:rPr>
            </w:pPr>
            <w:r>
              <w:rPr>
                <w:rFonts w:ascii="Times New Roman;serif" w:hAnsi="Times New Roman;serif"/>
                <w:b w:val="false"/>
                <w:i/>
                <w:color w:val="000000"/>
                <w:sz w:val="14"/>
                <w:u w:val="single"/>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471,129 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(400,356)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under equity-based compensation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471,285 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(419,614)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52,699 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203,307 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471,149 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(444,021)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28,154 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equity-based payment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202,612 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471,399 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(469,846)</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03225"/>
                <wp:effectExtent l="0" t="0" r="0" b="0"/>
                <wp:wrapNone/>
                <wp:docPr id="9" name="Frame8"/>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48"/>
        <w:gridCol w:w="282"/>
        <w:gridCol w:w="265"/>
        <w:gridCol w:w="368"/>
        <w:gridCol w:w="368"/>
        <w:gridCol w:w="196"/>
        <w:gridCol w:w="109"/>
        <w:gridCol w:w="109"/>
        <w:gridCol w:w="109"/>
        <w:gridCol w:w="196"/>
        <w:gridCol w:w="422"/>
        <w:gridCol w:w="109"/>
        <w:gridCol w:w="109"/>
        <w:gridCol w:w="109"/>
        <w:gridCol w:w="109"/>
        <w:gridCol w:w="200"/>
        <w:gridCol w:w="754"/>
        <w:gridCol w:w="111"/>
        <w:gridCol w:w="109"/>
        <w:gridCol w:w="109"/>
        <w:gridCol w:w="109"/>
        <w:gridCol w:w="198"/>
        <w:gridCol w:w="761"/>
        <w:gridCol w:w="110"/>
        <w:gridCol w:w="109"/>
        <w:gridCol w:w="109"/>
        <w:gridCol w:w="109"/>
        <w:gridCol w:w="252"/>
        <w:gridCol w:w="746"/>
        <w:gridCol w:w="110"/>
        <w:gridCol w:w="109"/>
        <w:gridCol w:w="109"/>
        <w:gridCol w:w="109"/>
        <w:gridCol w:w="215"/>
        <w:gridCol w:w="610"/>
        <w:gridCol w:w="121"/>
        <w:gridCol w:w="109"/>
        <w:gridCol w:w="109"/>
        <w:gridCol w:w="109"/>
        <w:gridCol w:w="196"/>
        <w:gridCol w:w="736"/>
        <w:gridCol w:w="169"/>
      </w:tblGrid>
      <w:tr>
        <w:trPr/>
        <w:tc>
          <w:tcPr>
            <w:tcW w:w="74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0"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Class A and Class B </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Attributable to Ascend Wellness Holdings, Inc. Common Stockholders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u w:val="single"/>
              </w:rPr>
            </w:pPr>
            <w:r>
              <w:rPr>
                <w:rFonts w:ascii="Times New Roman;serif" w:hAnsi="Times New Roman;serif"/>
                <w:b w:val="false"/>
                <w:i/>
                <w:color w:val="000000"/>
                <w:sz w:val="14"/>
                <w:u w:val="single"/>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458,027 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(315,362)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142,872 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equity-based payment rewards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under equity-based compensation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(3,483)</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13,554 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468,093 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(333,525)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under equity-based compensation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(21,784)</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2024</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213,820 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471,587 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(355,309)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117,543 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equity-based payment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under equity-based compensation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(28,256)</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214,411 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471,436 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(383,565)</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88,086 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88,909 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03225"/>
                <wp:effectExtent l="0" t="0" r="0" b="0"/>
                <wp:wrapNone/>
                <wp:docPr id="10" name="Frame9"/>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8454" w:type="dxa"/>
        <w:jc w:val="left"/>
        <w:tblInd w:w="0" w:type="dxa"/>
        <w:tblLayout w:type="fixed"/>
        <w:tblCellMar>
          <w:top w:w="28" w:type="dxa"/>
          <w:left w:w="28" w:type="dxa"/>
          <w:bottom w:w="28" w:type="dxa"/>
          <w:right w:w="28" w:type="dxa"/>
        </w:tblCellMar>
      </w:tblPr>
      <w:tblGrid>
        <w:gridCol w:w="2184"/>
        <w:gridCol w:w="1920"/>
        <w:gridCol w:w="1926"/>
        <w:gridCol w:w="196"/>
        <w:gridCol w:w="721"/>
        <w:gridCol w:w="109"/>
        <w:gridCol w:w="109"/>
        <w:gridCol w:w="109"/>
        <w:gridCol w:w="109"/>
        <w:gridCol w:w="196"/>
        <w:gridCol w:w="721"/>
        <w:gridCol w:w="154"/>
      </w:tblGrid>
      <w:tr>
        <w:trPr/>
        <w:tc>
          <w:tcPr>
            <w:tcW w:w="2184"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Adjustments to reconcile net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(gain) on sale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of acquisitions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capital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notes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 of notes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finance leases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withheld under equity-based compensation plans,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exercise of stock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Payment of contingent consideration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03225"/>
                <wp:effectExtent l="0" t="0" r="0" b="0"/>
                <wp:wrapNone/>
                <wp:docPr id="11" name="Frame10"/>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(CONTINUED, UNAUDITED)</w:t>
      </w:r>
    </w:p>
    <w:p>
      <w:pPr>
        <w:pStyle w:val="TextBody"/>
        <w:bidi w:val="0"/>
        <w:spacing w:before="0" w:after="0"/>
        <w:jc w:val="center"/>
        <w:rPr/>
      </w:pPr>
      <w:r>
        <w:rPr/>
      </w:r>
    </w:p>
    <w:tbl>
      <w:tblPr>
        <w:tblW w:w="8619" w:type="dxa"/>
        <w:jc w:val="left"/>
        <w:tblInd w:w="0" w:type="dxa"/>
        <w:tblLayout w:type="fixed"/>
        <w:tblCellMar>
          <w:top w:w="28" w:type="dxa"/>
          <w:left w:w="28" w:type="dxa"/>
          <w:bottom w:w="28" w:type="dxa"/>
          <w:right w:w="28" w:type="dxa"/>
        </w:tblCellMar>
      </w:tblPr>
      <w:tblGrid>
        <w:gridCol w:w="2291"/>
        <w:gridCol w:w="2017"/>
        <w:gridCol w:w="2037"/>
        <w:gridCol w:w="196"/>
        <w:gridCol w:w="646"/>
        <w:gridCol w:w="109"/>
        <w:gridCol w:w="109"/>
        <w:gridCol w:w="109"/>
        <w:gridCol w:w="109"/>
        <w:gridCol w:w="196"/>
        <w:gridCol w:w="646"/>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6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u w:val="single"/>
              </w:rPr>
            </w:pPr>
            <w:r>
              <w:rPr>
                <w:rFonts w:ascii="Times New Roman;serif" w:hAnsi="Times New Roman;serif"/>
                <w:b w:val="false"/>
                <w:i/>
                <w:color w:val="000000"/>
                <w:sz w:val="14"/>
                <w:u w:val="single"/>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(refunds) payments, net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incurred but not yet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withheld under equity-based compensation plans,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incurred but not yet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Non-controlling interest recognized upon initial consolidation of variable interest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03225"/>
                <wp:effectExtent l="0" t="0" r="0" b="0"/>
                <wp:wrapNone/>
                <wp:docPr id="12" name="Frame11"/>
                <a:graphic xmlns:a="http://schemas.openxmlformats.org/drawingml/2006/main">
                  <a:graphicData uri="http://schemas.microsoft.com/office/word/2010/wordprocessingShape">
                    <wps:wsp>
                      <wps:cNvSpPr txBox="1"/>
                      <wps:spPr>
                        <a:xfrm>
                          <a:off x="0" y="0"/>
                          <a:ext cx="6480175" cy="40322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 condensed consolidated financial statements.</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80"/>
        <w:jc w:val="left"/>
        <w:rPr>
          <w:rFonts w:ascii="Times New Roman;serif" w:hAnsi="Times New Roman;serif"/>
          <w:b/>
          <w:color w:val="000000"/>
          <w:sz w:val="20"/>
        </w:rPr>
      </w:pPr>
      <w:r>
        <w:rPr>
          <w:rFonts w:ascii="Times New Roman;serif" w:hAnsi="Times New Roman;serif"/>
          <w:b/>
          <w:color w:val="000000"/>
          <w:sz w:val="20"/>
        </w:rPr>
        <w:t>1. THE COMPANY AND NATURE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New Jersey, Ohio, and Pennsylvania. Our core business is the cultivation, manufacturing, and distribution of cannabis consumer packaged goods, which are sold through company-owned retail stores and to third-party licensed retail cannabis stores. AWH is headquartered in Morristown, New Jersey.</w:t>
      </w:r>
    </w:p>
    <w:p>
      <w:pPr>
        <w:pStyle w:val="TextBody"/>
        <w:bidi w:val="0"/>
        <w:spacing w:lineRule="auto" w:line="288" w:before="0" w:after="180"/>
        <w:ind w:left="0" w:right="0" w:firstLine="720"/>
        <w:jc w:val="both"/>
        <w:rPr/>
      </w:pPr>
      <w:r>
        <w:rPr>
          <w:rFonts w:ascii="Times New Roman;serif" w:hAnsi="Times New Roman;serif"/>
          <w:b w:val="false"/>
          <w:color w:val="000000"/>
          <w:sz w:val="20"/>
        </w:rPr>
        <w:t>Shares of the Company’s Class A common stock are listed on the Canadian Securities Exchange (the “CSE”) under the ticker symbol “AAWH.U” and are quoted on the OTCQX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Best Market (the “OTCQX”) under the symbol “AAWH.”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2. BASIS OF PRESENTATION AND SIGNIFICANT ACCOUNTING POLICIES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2024 (the “Annual Report”), as filed with the United States Securities and Exchange Commission (“SEC”) and with the relevant Canadian securities regulatory authorities under its profile on the System for Electronic Document Analysis and Retrieval Plus (“SEDAR+”). Except as noted below, there have been no material changes to the Company’s significant accounting policies and estimates during the nine months ended September 30,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The Financial Statements are expressed in U.S. dollars, which is the Company’s functional currency. Unless otherwise indicated, all references to years are to our fiscal year, which ends on December 31.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emerging growth company under federal securities laws and as such we are able to elect to follow scaled disclosure requirements for this filing and can delay adopting new or revised accounting standards until such time as those standards apply to private companies.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reflected in the Financial Statements, the Company had an accumulated deficit as of September 30, 2025 and December 31, 2024, as well as a net loss for the nine months ended September 30, 2025 and 2024,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the cash balance on hand and the generation of positive net cash provided by operating activities.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prior year amounts in the notes to the consolidated financial statements have been reclassified to conform with our current period presentation. These changes had no impact on our previously reported net loss.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and Cash Equivalents and Restricted Cash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we did not hold significant restricted cash or cash equivalents.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and 2024, we had no transfers of assets or liabilities between any of the hierarchy levels.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lease-related right-of-use (“ROU”) assets. We estimate the fair value of these assets using primarily unobservable Level 3 inputs.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Basic and Diluted Earnings (Loss) per Share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Basic EPS is computed by dividing net income or loss by the weighted-average number of common shares outstanding during the period. Diluted EPS reflects potential dilution and is computed by dividing net income or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and outstanding stock options, as applicable. At September 30, 2025 and 2024, 19,640 and 15,273 shares of common stock equivalents, respectively, were excluded from the calculation of diluted EPS because their inclusion would have been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as applicable.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standards have been recently issued by the Financial Accounting Standards Board (“FASB”). Pronouncements that are not applicable to the Company or where it has been determined do not have a significant impact on us have been excluded herein.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December 2023, the FASB issued Accounting Standards Update (“ASU”) 2023-09,</w:t>
      </w:r>
      <w:r>
        <w:rPr>
          <w:color w:val="000000"/>
        </w:rPr>
        <w:t xml:space="preserve"> </w:t>
      </w:r>
      <w:r>
        <w:rPr>
          <w:rFonts w:ascii="Times New Roman;serif" w:hAnsi="Times New Roman;serif"/>
          <w:b w:val="false"/>
          <w:i/>
          <w:color w:val="000000"/>
          <w:sz w:val="20"/>
        </w:rPr>
        <w:t>Income Taxes (Topic 740):</w:t>
      </w:r>
      <w:r>
        <w:rPr>
          <w:color w:val="000000"/>
        </w:rPr>
        <w:t xml:space="preserve">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which requires enhanced income tax disclosures, including disaggregation in the rate reconciliation table and disaggregation information related to income taxes paid. The amendments in this update are effective for the Company for the fiscal year ending December 31, 2025 on a prospective or retrospective basis, with early adoption permitted. We are currently evaluating the impact of this update on our disclosures in the consolidated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Disaggregation of Income Statement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Disaggregation of Income Statement Expenses (Subtopic 220-40), </w:t>
      </w:r>
      <w:r>
        <w:rPr>
          <w:rFonts w:ascii="Times New Roman;serif" w:hAnsi="Times New Roman;serif"/>
          <w:b w:val="false"/>
          <w:color w:val="000000"/>
          <w:sz w:val="20"/>
        </w:rPr>
        <w:t>which was further clarified through ASU 2025-01 issued in January 2025. This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This ASU is effective for annual periods beginning after December 15, 2026 and interim periods within fiscal years beginning after December 15, 2027. The provisions of this ASU are required to be applied prospectively; however, they may be applied retrospectively to any comparative periods presented in the consolidated financial statements following the effective date. Early adoption is permitted. We are currently evaluating the impact of this update on our disclosures in the consolidated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Business Combinations and Consolidation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May 2025, the FASB issued ASU 2025-03, </w:t>
      </w:r>
      <w:r>
        <w:rPr>
          <w:rFonts w:ascii="Times New Roman;serif" w:hAnsi="Times New Roman;serif"/>
          <w:b w:val="false"/>
          <w:i/>
          <w:color w:val="000000"/>
          <w:sz w:val="20"/>
        </w:rPr>
        <w:t>Business Combinations (Topic 805) and Consolidation (Topic 810):</w:t>
      </w:r>
      <w:r>
        <w:rPr>
          <w:color w:val="000000"/>
        </w:rPr>
        <w:t xml:space="preserve"> </w:t>
      </w:r>
      <w:r>
        <w:rPr>
          <w:rFonts w:ascii="Times New Roman;serif" w:hAnsi="Times New Roman;serif"/>
          <w:b w:val="false"/>
          <w:i/>
          <w:color w:val="000000"/>
          <w:sz w:val="20"/>
        </w:rPr>
        <w:t>Determining the Accounting Acquirer in the Acquisition of a Variable Interest Entity</w:t>
      </w:r>
      <w:r>
        <w:rPr>
          <w:rFonts w:ascii="Times New Roman;serif" w:hAnsi="Times New Roman;serif"/>
          <w:b w:val="false"/>
          <w:color w:val="000000"/>
          <w:sz w:val="20"/>
        </w:rPr>
        <w:t>, which revises the guidance in ASC 805 on identifying the accounting acquirer in a business combination in which the legal acquiree is a variable interest entity (“VIE”). This ASU is intended to improve comparability between business combinations that involve VIEs and those that do not and requires a reporting entity to consider the factors for identifying the accounting acquirer when a transaction is primarily effected by the exchange of equity interests. This ASU will be effective for the Company beginning January 1, 2027 and early adoption is permitted. We are currently evaluating the impact of this update on our disclosures in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pPr>
      <w:r>
        <w:rPr>
          <w:rFonts w:ascii="Times New Roman;serif" w:hAnsi="Times New Roman;serif"/>
          <w:b/>
          <w:i/>
          <w:color w:val="000000"/>
          <w:sz w:val="20"/>
        </w:rPr>
        <w:t xml:space="preserve">Financial Instruments </w:t>
      </w:r>
      <w:r>
        <w:rPr>
          <w:color w:val="000000"/>
        </w:rPr>
        <w:t xml:space="preserve">– </w:t>
      </w:r>
      <w:r>
        <w:rPr>
          <w:rFonts w:ascii="Times New Roman;serif" w:hAnsi="Times New Roman;serif"/>
          <w:b/>
          <w:i/>
          <w:color w:val="000000"/>
          <w:sz w:val="20"/>
        </w:rPr>
        <w:t>Credit Losses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w:t>
      </w:r>
      <w:r>
        <w:rPr>
          <w:color w:val="000000"/>
        </w:rPr>
        <w:t>–</w:t>
      </w:r>
      <w:r>
        <w:rPr>
          <w:rFonts w:ascii="Times New Roman;serif" w:hAnsi="Times New Roman;serif"/>
          <w:b w:val="false"/>
          <w:i/>
          <w:color w:val="000000"/>
          <w:sz w:val="20"/>
        </w:rPr>
        <w:t>Credit Losses (Topic 326): Measurement of Credit Losses for Accounts Receivable and Contract Assets</w:t>
      </w:r>
      <w:r>
        <w:rPr>
          <w:rFonts w:ascii="Times New Roman;serif" w:hAnsi="Times New Roman;serif"/>
          <w:b w:val="false"/>
          <w:color w:val="000000"/>
          <w:sz w:val="20"/>
        </w:rPr>
        <w:t>. This update</w:t>
      </w:r>
      <w:r>
        <w:rPr>
          <w:color w:val="000000"/>
        </w:rPr>
        <w:t xml:space="preserve"> </w:t>
      </w:r>
      <w:r>
        <w:rPr>
          <w:rFonts w:ascii="Times New Roman;serif" w:hAnsi="Times New Roman;serif"/>
          <w:b w:val="false"/>
          <w:color w:val="000000"/>
          <w:sz w:val="20"/>
        </w:rPr>
        <w:t>provides all entities with a practical expedient to assume that current conditions as of the balance sheet date do not change for the remaining life of the assets when estimating expected credit losses for current accounts receivable and current contract assets arising from transactions accounted for under ASC 606. This guidance is effective for annual reporting periods beginning after December 15, 2025, and interim reporting periods within those annual reporting periods, with early adoption permitted. We are currently evaluating the impact of this update on our consolidated financial statements and disclosures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3. REPORTABLE SEGMENTS AND 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under one operating segment, which is its only reportable segment: the production and sale of cannabis products. All of the Company’s operations are located in the United States. The Company’s chief operating decision maker (“CODM”), the Chief Executive Officer, manages the business and makes operating decisions at the consolidated level. Accordingly, our CODM uses consolidated operating profit and net income (loss) to measure segment profit or loss, allocate resources, and assess operating performance. Further, the CODM reviews and utilizes functional expenses, such as general and administrative expenses, at the consolidated level to manage the Company’s operations. Other segment items included in consolidated net income (loss) that are reflected in the Consolidated Statements of Operations are: interest expense; other expense, net; and income tax expense. Refer to Note 17, “Supplemental Information,” for additional information regarding our general and administrative expenses.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 </w:t>
      </w:r>
    </w:p>
    <w:tbl>
      <w:tblPr>
        <w:tblW w:w="8205" w:type="dxa"/>
        <w:jc w:val="left"/>
        <w:tblInd w:w="0" w:type="dxa"/>
        <w:tblLayout w:type="fixed"/>
        <w:tblCellMar>
          <w:top w:w="28" w:type="dxa"/>
          <w:left w:w="28" w:type="dxa"/>
          <w:bottom w:w="28" w:type="dxa"/>
          <w:right w:w="28" w:type="dxa"/>
        </w:tblCellMar>
      </w:tblPr>
      <w:tblGrid>
        <w:gridCol w:w="939"/>
        <w:gridCol w:w="826"/>
        <w:gridCol w:w="8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wholesale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liability related to the loyalty program we offer dispensary customers at certain locations was $1,598 and $1,394 at September 30, 2025 and December 31, 2024, respectively, and is included within “Other current liabilities” on the unaudited Condensed Consolidated Balance Sheets. The Company recorded $2,116 and $2,119 in allowance for doubtful accounts as of September 30, 2025 and December 31, 2024, respectively. Write-offs were not significant during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4. ACQUISITIONS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Company has determined that the acquisitions discussed below are considered business combinations under ASC Topic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and are accounted for by applying the acquisition method, whereby the assets acquired and the liabilities assumed are recorded at their fair values with any excess of the aggregate consideration over the fair values of the identifiable net assets allocated to goodwill. Operating results are included in these Financial Statements from the date of the acquisition.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lineRule="auto" w:line="288" w:before="0" w:after="180"/>
        <w:ind w:left="0" w:right="0" w:firstLine="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Midwest Partnership Dispensary Three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a consolidated VIE of the Company (Midwest Partnership One, as defined in Note 8, “Variable Interest Entities”) entered into a definitive agreement to acquire an entity that owns and operates an adult-use dispensary (“Midwest Partnership Dispensary Three”), which agreement is subject to regulatory approval. The parties also entered into a management services agreement (“MSA”) pursuant to which Midwest Partnership One will provide certain management and advisory services for a set fee. This MSA became effective in March 2025, following regulatory approval, and will remain in place until the definitive agreement receives regulatory approval and the underlying transaction closes. Based on the provisions of this MSA, Midwest Partnership One obtained operational and financial influence over Midwest Partnership Dispensary Three and therefore recognized the transaction as a business combination as of the March 2025 regulatory approval date of this MSA. Refer to Note 8, “Variable Interest Entities,” for additional information regarding the Company’s VIEs.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cash consideration for the Midwest Partnership Dispensary Three transaction is $1,667, of which $833 was paid upon the regulatory approval of the MSA and the remainder is due at final closing, subject to certain closing adjustments. This agreement also provides for an earn-out payment, to be paid in cash, based on 3.2-times EBITDA (as defined) that is achieved during a specified twelve-month period, less the purchase price. The initial fair value estimate of $1,600 for this earn-out was determined utilizing an income approach based on a probability-weighted estimate of the future payment discounted using the Company’s estimated incremental borrowing rate and is classified within Level 3 of the fair value hierarchy. As of September 30, 2025, the estimate fair value of this earn-out was $1,750, which is included within “Accounts payable and accrued liabilities” on the unaudited Condensed Consolidated Balance Sheet as of that date and the change in fair value of $60 and $150 is included within “General and administrative expenses” on the unaudited Condensed Consolidated Statements of Operations for the three and nine months ended September 30, 2025, respectively.</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Midwest Partnership Dispensary Four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Midwest Partnership One entered into a definitive agreement to acquire an entity that owns and operates an adult-use dispensary (“Midwest Partnership Dispensary Four”), which agreement is subject to regulatory approval. The parties also entered into an MSA under which Midwest Partnership One will provide management and advisory services for a set fee. This MSA became effective in May 2025, following its regulatory approval, and will remain in place until the definitive agreement receives regulatory approval and the underlying transaction closes. Based on the provisions of this MSA, the Midwest Partnership One obtained operational and financial influence over Midwest Partnership Dispensary Four and therefore recognized the transaction as a business combination as of the May 2025 regulatory approval date of this MSA. Refer to Note 8, “Variable Interest Entities,” for additional information regarding the Company’s VIEs.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cash consideration for the Midwest Partnership Dispensary Four transaction is $3,333, of which $1,667 was paid upon the regulatory approval of the MSA and the remainder will be due at final closing, subject to certain closing adjustments. This agreement also provides for an earn-out payment, to be paid in cash, based on 3.2-times EBITDA (as defined) that is achieved during a specified twelve-month period, less the purchase price. The initial fair value estimate of $1,900 for this earn-out was determined utilizing an income approach based on a probability-weighted estimate of the future payment discounted using the Company’s estimated incremental borrowing rate and is classified within Level 3 of the fair value hierarchy. As of September 30, 2025, the estimated fair value of this earn-out was $2,000, which is included within “Other non-current liabilities” on the unaudited Condensed Consolidated Balance Sheet as of that date and the change in fair value of $100 is included within “General and administrative expenses” on the unaudited Condensed Consolidated Statements of Operations for each of the three and nine months ended September 30, 2025.</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Northeast Partnership Dispensary One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2025, Northeast Partnership Three (as defined in Note 8, “Variable Interest Entities”) entered into a definitive agreement to acquire an adult-use dispensary (the “Northeast Partnership Dispensary One”). The parties also entered into a consulting agreement under which Northeast Partnership Three will provide management and advisory services for a set fee. This consulting agreement became effective in June 2025 and will remain in place until regulatory approval of the definitive agreement is received and the underlying transaction thereby closes. Based on the provisions of this consulting agreement, Northeast Partnership Three obtained operational and financial influence over Northeast Partnership Dispensary One and therefore recognized the transaction as a business combination as of the June 2025 effective date of this consulting agreement. Refer to Note 8, “Variable Interest Entities,” for additional information regarding the Company’s VIEs. Total cash consideration for Northeast Partnership Dispensary One is $3,250, of which $813 was paid at signing and the remainder will be due at final closing, subject to certain closing adjustments.</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Northeast Partnership Dispensaries Two and Three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Northeast Partnership Three (as defined in Note 8, “Variable Interest Entities”) acquired an entity that owns and operates two adult-use dispensaries (“Northeast Partnership Dispensaries Two and Three”), which transaction was completed pursuant to a definitive agreement that was signed in February 2025 and was subject to certain closing conditions, including regulatory approval of the underlying transaction which was received prior to closing. The purchase price consists of $7,850 of cash consideration, adjusted for certain working capital amounts with an initial estimate of $1,040 that will be finalized per the underlying transaction terms. Total consideration also includes $1,598 of other pre-acquisition amounts that are anticipated to be reflected in the final working capital adjustment. The total cash consideration included the settlement of $4,779 related to an outstanding note with a principal balance of $4,100 and associated interest. Of the remaining total cash consideration, $250 was paid at signing and $1,541 was paid at closing. The remainder is due on the one-year anniversary of closing and is subject to final working capital adjustments. This transaction also provides for an earn-out payment, payable in cash, in an amount equal to the lesser of $2,000 or three times the Annual EBITDA (as defined) during the one-year period following closing. The initial fair value estimate of $1,800 for this earn-out was determined utilizing an income approach based on a probability-weighted estimate of the future payment discounted using the Company’s estimated incremental borrowing rate and is classified within Level 3 of the fair value hierarchy. As of September 30, 2025, the estimated fair value of this earn-out is included within “Other non-current liabilities” on the unaudited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Preliminary Purchase Price Allocations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purchase price allocations for the transactions described above, which remains preliminary as management refines certain estimates during the respective measurement periods:</w:t>
      </w:r>
    </w:p>
    <w:tbl>
      <w:tblPr>
        <w:tblW w:w="10205" w:type="dxa"/>
        <w:jc w:val="left"/>
        <w:tblInd w:w="0" w:type="dxa"/>
        <w:tblLayout w:type="fixed"/>
        <w:tblCellMar>
          <w:top w:w="28" w:type="dxa"/>
          <w:left w:w="28" w:type="dxa"/>
          <w:bottom w:w="28" w:type="dxa"/>
          <w:right w:w="28" w:type="dxa"/>
        </w:tblCellMar>
      </w:tblPr>
      <w:tblGrid>
        <w:gridCol w:w="856"/>
        <w:gridCol w:w="498"/>
        <w:gridCol w:w="479"/>
        <w:gridCol w:w="109"/>
        <w:gridCol w:w="109"/>
        <w:gridCol w:w="109"/>
        <w:gridCol w:w="384"/>
        <w:gridCol w:w="1124"/>
        <w:gridCol w:w="199"/>
        <w:gridCol w:w="109"/>
        <w:gridCol w:w="109"/>
        <w:gridCol w:w="109"/>
        <w:gridCol w:w="379"/>
        <w:gridCol w:w="1109"/>
        <w:gridCol w:w="197"/>
        <w:gridCol w:w="109"/>
        <w:gridCol w:w="109"/>
        <w:gridCol w:w="109"/>
        <w:gridCol w:w="381"/>
        <w:gridCol w:w="1117"/>
        <w:gridCol w:w="198"/>
        <w:gridCol w:w="109"/>
        <w:gridCol w:w="109"/>
        <w:gridCol w:w="109"/>
        <w:gridCol w:w="382"/>
        <w:gridCol w:w="1307"/>
        <w:gridCol w:w="287"/>
      </w:tblGrid>
      <w:tr>
        <w:trPr/>
        <w:tc>
          <w:tcPr>
            <w:tcW w:w="85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Midwest Partnership Dispensary Three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Midwest Partnership Dispensary Four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Northeast Partnership Dispensary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Northeast Partnership Dispensaries Two and Three</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and equipment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License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2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Settlement of pre-acquisition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The amounts related to Midwest Partnership Dispensary Three, Midwest Partnership Dispensary Four, and Northeast Partnership Dispensary One consist of leasehold improvements. The amount for Northeast Partnership Dispensaries Two and Three consists of $3,682 of leasehold improvements and $52 of furniture, fixtures, and equipment.</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The amortization period for the acquired licenses is 10 years. During the nine months ended September 30, 2025, we refined certain estimates related to the fair value of the Midwest Partnership Dispensary Three acquired license, resulting in a measurement period purchase accounting adjustment that reduced the value by $710, with a related impact to goodwill. During the three months ended September 30, 2025, we refined certain estimates related to the fair value of the Northeast Partnership Dispensary One acquired license, resulting in a measurement period accounting adjustment that reduced the value by $120, with a related impact to goodwill.</w:t>
      </w:r>
    </w:p>
    <w:p>
      <w:pPr>
        <w:pStyle w:val="TextBody"/>
        <w:bidi w:val="0"/>
        <w:spacing w:lineRule="auto" w:line="288"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Goodwill is largely attributable to the value expected to be obtained from long-term business growth and buyer-specific synergies. Goodwill is largely not deductible for tax purposes under the limitations under Internal Revenue Code (“IRC”) Section 280E; see Note 14, “Income Taxes,” for additional information.</w:t>
      </w:r>
    </w:p>
    <w:p>
      <w:pPr>
        <w:pStyle w:val="TextBody"/>
        <w:bidi w:val="0"/>
        <w:spacing w:lineRule="auto" w:line="288" w:before="0" w:after="18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Of the total cash consideration, $833 was paid in March 2025 for the Midwest Partnership Dispensary Three transaction, $1,667 was paid in May 2025 for the Midwest Partnership Dispensary Four transaction and $813 was paid upon signing in May 2025 for the Northeast Partnership Dispensary One transaction. A deposit of $250 was paid at signing for the Northeast Partnership Dispensaries Two and Three transaction, $1,541 was paid at closing in September 2025, and $4,779 was utilized to settle an outstanding note receivable and associated interest. The remainder of each respective total consideration amount is included as a sellers’ note as a component of debt; refer to Note 11, “Debt”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Midwest Partnership One has also agreed to assume the lease for the associated locations and recognized a total finance lease liability and ROU asset of $767 related to Midwest Partnership Dispensary Three and $653 for Midwest Partnership Dispensary Four as of the respective effective dates. Northeast Partnership Three has agreed to assume certain leases associated with its transactions and recognized a finance lease liability and ROU asset of $679 associated with the Northeast Partnership Dispensary One transaction and finance lease liabilities and ROU assets totaling $5,699 associated with the Northeast Partnership Dispensaries Two and Three transaction. Refer to Note 10, “Leases,” for additional information regarding the Company’s leases. Direct transaction costs for these transactions were not material. </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Financial and Pro Forma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 and net (loss) income related to the acquisitions described above that are included in our consolidated results from the respective effective dates, as applicable.</w:t>
      </w:r>
    </w:p>
    <w:tbl>
      <w:tblPr>
        <w:tblW w:w="10205" w:type="dxa"/>
        <w:jc w:val="left"/>
        <w:tblInd w:w="0" w:type="dxa"/>
        <w:tblLayout w:type="fixed"/>
        <w:tblCellMar>
          <w:top w:w="28" w:type="dxa"/>
          <w:left w:w="28" w:type="dxa"/>
          <w:bottom w:w="28" w:type="dxa"/>
          <w:right w:w="28" w:type="dxa"/>
        </w:tblCellMar>
      </w:tblPr>
      <w:tblGrid>
        <w:gridCol w:w="428"/>
        <w:gridCol w:w="342"/>
        <w:gridCol w:w="343"/>
        <w:gridCol w:w="516"/>
        <w:gridCol w:w="1141"/>
        <w:gridCol w:w="268"/>
        <w:gridCol w:w="109"/>
        <w:gridCol w:w="109"/>
        <w:gridCol w:w="109"/>
        <w:gridCol w:w="508"/>
        <w:gridCol w:w="1122"/>
        <w:gridCol w:w="264"/>
        <w:gridCol w:w="109"/>
        <w:gridCol w:w="109"/>
        <w:gridCol w:w="109"/>
        <w:gridCol w:w="430"/>
        <w:gridCol w:w="1257"/>
        <w:gridCol w:w="223"/>
        <w:gridCol w:w="109"/>
        <w:gridCol w:w="109"/>
        <w:gridCol w:w="109"/>
        <w:gridCol w:w="601"/>
        <w:gridCol w:w="1329"/>
        <w:gridCol w:w="452"/>
      </w:tblGrid>
      <w:tr>
        <w:trPr/>
        <w:tc>
          <w:tcPr>
            <w:tcW w:w="42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2025</w:t>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Midwest Partnership Dispensary Three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Midwest Partnership Dispensary Four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Northeast Partnership Dispensary One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Northeast Partnership Dispensaries Two and Three</w:t>
            </w:r>
          </w:p>
        </w:tc>
      </w:tr>
      <w:tr>
        <w:trPr/>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28"/>
        <w:gridCol w:w="342"/>
        <w:gridCol w:w="343"/>
        <w:gridCol w:w="433"/>
        <w:gridCol w:w="1268"/>
        <w:gridCol w:w="225"/>
        <w:gridCol w:w="109"/>
        <w:gridCol w:w="109"/>
        <w:gridCol w:w="109"/>
        <w:gridCol w:w="426"/>
        <w:gridCol w:w="1247"/>
        <w:gridCol w:w="221"/>
        <w:gridCol w:w="109"/>
        <w:gridCol w:w="109"/>
        <w:gridCol w:w="109"/>
        <w:gridCol w:w="430"/>
        <w:gridCol w:w="1257"/>
        <w:gridCol w:w="223"/>
        <w:gridCol w:w="109"/>
        <w:gridCol w:w="109"/>
        <w:gridCol w:w="109"/>
        <w:gridCol w:w="601"/>
        <w:gridCol w:w="1329"/>
        <w:gridCol w:w="451"/>
      </w:tblGrid>
      <w:tr>
        <w:trPr/>
        <w:tc>
          <w:tcPr>
            <w:tcW w:w="42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2025</w:t>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Midwest Partnership Dispensary Three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Midwest Partnership Dispensary Four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Northeast Partnership Dispensary One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Northeast Partnership Dispensaries Two and Three</w:t>
            </w:r>
          </w:p>
        </w:tc>
      </w:tr>
      <w:tr>
        <w:trPr/>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 forma financial information is not presented for these acquisitions, as such results are immaterial, individually and in aggregate, to both the current and prior periods.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2024 Acquisition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Effective in April 2024, Midwest Partnership One acquired two dispensaries in the greater Chicago, Illinois area (the “2024 Midwest Partner Dispensaries”). The parties entered into interim MSAs pursuant to which Midwest Partnership One will advise on certain business, operational, and financial matters for a monthly fee while the parties finalize asset purchase agreements to acquire the underlying dispensaries (the “2024 Midwest MSAs”). The total purchase price of approximately $10,000 of cash consideration is subject to certain closing adjustments. An initial deposit of $1,500 was remitted during the three months ended March 31, 2024. The remainder of $8,500 was remitted to escrow during the three months ended June 30, 2024 and remained in escrow as of September 30, 2025.</w:t>
      </w:r>
      <w:r>
        <w:rPr>
          <w:color w:val="EE2724"/>
        </w:rPr>
        <w:t xml:space="preserve"> </w:t>
      </w:r>
      <w:r>
        <w:rPr>
          <w:rFonts w:ascii="Times New Roman;serif" w:hAnsi="Times New Roman;serif"/>
          <w:b w:val="false"/>
          <w:color w:val="000000"/>
          <w:sz w:val="20"/>
        </w:rPr>
        <w:t xml:space="preserve">The asset purchase agreements in respect of the 2024 Midwest Partner Dispensaries are subject to regulatory review and approval. Based on the provisions of the 2024 Midwest MSAs, the third party obtained operational and financial influence over the dispensaries and therefore recognized the transaction as a business combination as of the April 2024 regulatory approval date of the 2024 Midwest MSAs. Refer to Note 8, “Variable Interest Entities,” for additional information regarding the Company’s VIEs.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purchase price allocation of the 2024 Midwest Partner Dispensaries.</w:t>
      </w:r>
    </w:p>
    <w:tbl>
      <w:tblPr>
        <w:tblW w:w="4833" w:type="dxa"/>
        <w:jc w:val="left"/>
        <w:tblInd w:w="0" w:type="dxa"/>
        <w:tblLayout w:type="fixed"/>
        <w:tblCellMar>
          <w:top w:w="28" w:type="dxa"/>
          <w:left w:w="28" w:type="dxa"/>
          <w:bottom w:w="28" w:type="dxa"/>
          <w:right w:w="28" w:type="dxa"/>
        </w:tblCellMar>
      </w:tblPr>
      <w:tblGrid>
        <w:gridCol w:w="1239"/>
        <w:gridCol w:w="1089"/>
        <w:gridCol w:w="1092"/>
        <w:gridCol w:w="109"/>
        <w:gridCol w:w="109"/>
        <w:gridCol w:w="109"/>
        <w:gridCol w:w="211"/>
        <w:gridCol w:w="72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acquired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and equipment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Licenses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Consists of leasehold improvements of $1,398 and furniture, fixtures, and equipment of $127. </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The amortization period for acquired licenses is 10 years. During the nine months ended September 30, 2025, certain estimates related to the fair value of the acquired licenses were refined, resulting in a measurement period purchase accounting adjustment that reduced the value by $940, with a related impact to goodwill.</w:t>
      </w:r>
    </w:p>
    <w:p>
      <w:pPr>
        <w:pStyle w:val="TextBody"/>
        <w:bidi w:val="0"/>
        <w:spacing w:lineRule="auto" w:line="288" w:before="0" w:after="18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Goodwill is largely attributable to the value expected to be obtained from long-term business growth and buyer-specific synergies. Goodwill is largely not deductible for tax purposes under the limitations under IRC Section 280E; see Note 14, “Income Taxes,” for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entity has also agreed to assume the lease for the associated locations and recognized a total lease liability and ROU asset of $3,065 as of the effective date; refer to Note 10, “Leases,” for additional information regarding the Company’s leases. Direct transaction costs were not material.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results of operations for the three and nine months ended September 30, 2025 include $3,208 and $9,774, respectively, of net revenue and $141 and $386 of net income, respectively, related to the 2024 Midwest Partner Dispensaries. The associated net revenue for the three and nine months ended September 30, 2024 was $1,323 and $1,435, respectively, and the related net loss was $160 and $493, respectively. Pro forma financial information is not presented, as such results are immaterial to both the current and prior periods.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 Acquisitions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acquisitions below did not meet the definition of a business and are therefore accounted for as asset acquisitions. When the Company acquires assets and liabilities that do not constitute a business or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2025 Asset Acquisitions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Midwest Partnership One entered into a definitive agreement to acquire the membership interests of an entity that anticipates receiving two adult-use licenses, which agreement is subject to regulatory approval. In conjunction with this definitive agreement, the parties entered into certain management services agreements under which Midwest Partnership One will provide certain management and advisory services for a set fee. These management services agreements were subject to regulatory review and approval, which was received in February 2025. Based on the provisions of the agreements, Midwest Partnership One obtained operational and financial influence over the underlying entity and therefore recognized the transaction as an asset acquisition as of the February 2025 regulatory approval date of these MSAs. Total cash consideration for this transaction may be up to $4,000, subject to certain closing adjustments, and was allocated to the licenses acquired as of the effective date. Of the total consideration, $1,000 was paid at signing in December 2024 and is included within “Other non-current assets” on the unaudited Condensed Consolidated Balance Sheet as of December 31, 2024. A total of up to $1,500 is expected to be paid upon opening of the associated dispensary locations and a total of up to $1,500 is expected be paid upon final closing of the associated transaction. The total of these payments is included as a sellers’ note; refer to Note 11, “Debt.” Additionally, the Company recorded an acquisition-related deferred tax liability of $1,755, which was allocated to the license as additional cost basis as of the effective date. Refer to Note 8, “Variable Interest Entities,” for additional information regarding the Company’s VIEs, including Midwest Partnership One.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Midwest Partnership One entered into a definitive agreement to acquire a conditional adult-use license, which agreement is subject to regulatory approval. Total cash consideration for this transaction is $1,900, to be paid at final closing and subject to certain closing adjustments. In October 2025, the parties amended the definitive agreement to, among other provisions, reduce the total cash consideration by $150 and advance $450 at that time. In conjunction with this definitive agreement, the parties entered into certain MSAs under which Midwest Partnership One will provide certain management and advisory services for a set fee. The parties also entered into a working capital loan and security agreement, under which Midwest Partnership One may loan up to $3,650 for the build-out of the associated dispensary, which loan has a five year maturity, if not otherwise settled, bears interest at a rate of 12.5% per annum, and provides for a default interest penalty of an additional 6.0% and a repayment fee of 10.0%. Based on the provisions of the MSAs and working capital loan, Midwest Partnership One obtained operational and financial influence over the underlying assets as of the February 2025 regulatory approval date of the MSAs. As such, this transaction was accounted for as an asset acquisition as of that date and the total consideration was allocated as the cost of the license acquired. The payment due at closing is included as a sellers’ note; refer to Note 11, “Debt.” The associated dispensary opened in May 2025 and the Company anticipates that closing of the transaction may occur in the first half of 2026. Refer to Note 8, “Variable Interest Entities,” for additional information regarding the Company’s VIEs, including the Midwest Partnership One.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the Company acquired a conditional adult-use license for $2,000 of cash consideration. this transaction was accounted for as an asset acquisition as of the effective date and the total cash consideration was allocated as the cost of the license acquired. Of the total cash consideration, $1,000 was paid to the seller as of the effective date and the remainder was remitted to escrow, to be released to the seller upon regulatory approval of the underlying license transfer, which remains pending. The Company also assumed the lease for the associated dispensary location which had a lease liability and ROU asset of $1,710 as of the effective date and is classified as a finance lease; refer to Note 10, “Leases,” for additional information regarding the Company’s leases. Additionally, the Company recorded an acquisition-related deferred tax liability of $878, which was allocated to the license as additional cost basis as of the effective date. Direct transaction costs were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2024 Asset Acquisitions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Massachusetts Purchase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2024, the Company entered into a definitive agreement (the “Massachusetts Purchase Agreement”) to purchase a cultivation license and a manufacturer license from a third party in Massachusetts for a cash purchase price of $2,750, of which $1,500 was paid at signing and $1,250 was paid on October 1, 2024. The transfer of each license was subject to regulatory review and approval, which occurred in April 2025, and upon which the final closing of the transaction occurred. The licenses were not associated with active operations at signing, but certain operations commenced during 2024. In conjunction with the Massachusetts Purchase Agreement, the parties also entered into a bridge loan which provided for the financing of certain covered expenses, at the sole discretion of the Company, and which balance outstanding thereunder was forgiven at final closing. The parties also entered into an interim consulting services agreement, that was effective as of the signing date through the final closing date. The Company accounted for this transaction as an asset acquisition as of the signing date based on the provisions of the underlying agreements and allocated the cash consideration as the cost of the license acquired. The Company also assumed the lease for the associated location and reimbursed the seller for the security deposit at final closing. The Company recognized a lease liability and ROU asset of $761 as of the signing date; refer to Note 10, “Leases,” for additional information regarding the Company’s leases. Direct transaction costs were not material.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Detroit License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2024, the Company acquired 49% of the member interests of an entity (the “Detroit License Holder”) that received conditional approval for an adult-use license in Detroit, Michigan (the “Detroit License”). The Detroit License was not associated with active operations as of the closing date and the Detroit License Holder had no other active operations as of that date. The Company transferred the Detroit License to its dispensary in Detroit, Michigan, which re-opened in February 2025. The Company paid $850 of cash consideration at closing and the sellers may receive up to an additional $2,250 based upon the achievement of certain levels of sales during a specified twelve-month period following the commencement of adult-use sales at the dispensary, which sales commenced in February 2025. The underlying agreement provides the Company with an option to acquire the remaining ownership interests in the Detroit License Holder, after such is permissible by applicable regulations, for no additional consideration. The parties also entered into a management services agreement, pursuant to which the Company is providing management and advisory services for a set monthly fee, which is expected to expire upon the Company’s exercise of the option.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Company determined that the Detroit License Holder is a VIE and the Company became the primary beneficiary as of the closing date; therefore, the Detroit License Holder is consolidated as a VIE. Management applied the acquisition method discussed above and allocated the total estimated fair value of the transaction consideration of $1,140 as the estimated fair value of the license. This total consisted of the fair value of the cash consideration of $850 plus the initial estimated fair value of the contingent consideration of $290, which was determined utilizing an income approach based on a probability-weighted estimate of the future payment discounted using the Company’s estimated incremental borrowing rate and is classified within Level 3 of the fair value hierarchy. The estimated fair value of the contingent consideration was $330 and $300 as of September 30, 2025 and December 31, 2024, respectively, which amounts are included within “Other non-current liabilities” on the unaudited Condensed Consolidated Balance Sheets as of each date and which change is included within “General and administrative expenses” on the unaudited Condensed Consolidated Statements of Operations for the three and nine months ended September 30, 2025. During the nine months ended September 30, 2025, the Company recorded an acquisition-related deferred tax liability of $500, which was allocated to the license as additional cost basis. The Company determined the fair value of any non-controlling interest is </w:t>
      </w:r>
      <w:r>
        <w:rPr>
          <w:rFonts w:ascii="Times New Roman;serif" w:hAnsi="Times New Roman;serif"/>
          <w:b w:val="false"/>
          <w:i/>
          <w:color w:val="000000"/>
          <w:sz w:val="20"/>
        </w:rPr>
        <w:t>de minimis</w:t>
      </w:r>
      <w:r>
        <w:rPr>
          <w:rFonts w:ascii="Times New Roman;serif" w:hAnsi="Times New Roman;serif"/>
          <w:b w:val="false"/>
          <w:color w:val="000000"/>
          <w:sz w:val="20"/>
        </w:rPr>
        <w:t>. Refer to Note 8, “Variable Interest Entities,” for additional information regarding the Company’s VIEs.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Previous Asset Acquisitions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Ohio Patient Access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12, 2022, the Company entered into a definitive agreement (the “Ohio Agreement”) that provided the Company the option to acquire 100% of the equity of Ohio Patient Access LLC (“OPA”), the holder of a license that grants it the right to operate three medical dispensaries in Ohio. The Ohio Agreement was subject to regulatory review and approval and, once received, the Company could exercise the option, the exercise of which was solely within the Company’s control. Under the Ohio Agreement, the Company would also acquire the real property of the three dispensary locations.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conjunction with the Ohio Agreement, the parties entered into a support services agreement under which the Company would provide management and advisory services to OPA for a set monthly fee until such time as the underlying transaction closes. The parties also entered into a working capital loan agreement under which the Company may, at its full discretion, loan OPA up to $10,000 for general working capital needs. OPA had not yet commenced operations as of the signing date, but subsequently opened two dispensaries in December 2023 and a third in January 2024. The Company determined OPA was a VIE and the Company became the primary beneficiary as of the signing date; therefore, OPA was consolidated as a VIE as of the initial signing date. To account for the initial consolidation of OPA, management applied the acquisition method discussed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price per the Ohio Agreement consisted of total cash consideration of $22,300. The Ohio Agreement also included an earn-out provision of $7,300 that was dependent upon the commencement of adult-use cannabis sales in Ohio and which the sellers could elect to receive as either cash or shares of the Company’s Class A common stock, or a combination thereof. The sellers elected to receive the payment in cash and such payment was made in July 2024.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estimated fair value of the transaction consideration was determined to be $24,132, which consisted of the fair value of the cash consideration of $19,290 plus the initial estimated fair value of the contingent consideration of $4,842 that was determined utilizing an income approach based on a probability-weighted estimate of the future payment discounted using the Company’s estimated incremental borrowing rate and was classified within Level 3 of the fair value hierarchy. Of the total cash consideration, $11,300 was funded at signing pursuant to note agreements and a total of $11,000 was due at final closing (the “OPA Sellers’ Note”); refer to Note 11, “Debt,” for additional information.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license intangible asset acquired was determined to have an estimated fair value of $21,684 and the three properties had an estimated fair value of $2,448, which was determined using a market approach based on the total transaction consideration. The license is being amortized in accordance with the Company’s policy following the commencement of operations. During the third quarter of 2023, the Company recorded an acquisition-related deferred tax liability of $9,516, which was allocated to the estimated fair value of the license. The Company determined the fair value of any non-controlling interest is </w:t>
      </w:r>
      <w:r>
        <w:rPr>
          <w:rFonts w:ascii="Times New Roman;serif" w:hAnsi="Times New Roman;serif"/>
          <w:b w:val="false"/>
          <w:i/>
          <w:color w:val="000000"/>
          <w:sz w:val="20"/>
        </w:rPr>
        <w:t>de minimis</w:t>
      </w:r>
      <w:r>
        <w:rPr>
          <w:rFonts w:ascii="Times New Roman;serif" w:hAnsi="Times New Roman;serif"/>
          <w:b w:val="false"/>
          <w:color w:val="000000"/>
          <w:sz w:val="20"/>
        </w:rPr>
        <w:t>. Refer to Note 8, “Variable Interest Entities,” for additional information regarding the Company’s VIEs.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initially provided by the Ohio Agreement, the Company had the right to exercise the option to acquire OPA until the fifth anniversary of the agreement date, but this was subsequently amended in June 2024 so that such option would expire on March 22, 2026. The June 2024 amendments to the Ohio Agreement also incorporated certain provisions regarding evolving regulations in Ohio, including that the Company will receive two additional adult-use licenses that are expected to be awarded to OPA. In July 2025, the Company entered into certain amendments related to the Ohio Agreement that, among other provisions, permitted the Company to acquire the real property of the dispensary locations in advance of the license ownership transfer and paid the sellers $2,000 of the OPA Sellers’ Note at that time. Effective on August 5, 2025, the Company acquired the entity that holds the real property. In September 2025, the Company notified the sellers that it was exercising the option to acquire OPA. The related transaction closed in October 2025 and $7,000 of the OPA Sellers’ Note was paid at that time. Subsequent to closing, OPA is no longer considered a VIE and is consolidated as a wholly-owned subsidiary. The remaining $2,000 of total transaction consideration will be remitted upon the final transfer of each of the two additional licenses, which is expected to occur after each of the related dispensary locations open.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5. INVENTORY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inventory are as follows:</w:t>
      </w:r>
    </w:p>
    <w:tbl>
      <w:tblPr>
        <w:tblW w:w="5816" w:type="dxa"/>
        <w:jc w:val="left"/>
        <w:tblInd w:w="0" w:type="dxa"/>
        <w:tblLayout w:type="fixed"/>
        <w:tblCellMar>
          <w:top w:w="28" w:type="dxa"/>
          <w:left w:w="28" w:type="dxa"/>
          <w:bottom w:w="28" w:type="dxa"/>
          <w:right w:w="28" w:type="dxa"/>
        </w:tblCellMar>
      </w:tblPr>
      <w:tblGrid>
        <w:gridCol w:w="706"/>
        <w:gridCol w:w="621"/>
        <w:gridCol w:w="623"/>
        <w:gridCol w:w="358"/>
        <w:gridCol w:w="1226"/>
        <w:gridCol w:w="185"/>
        <w:gridCol w:w="109"/>
        <w:gridCol w:w="109"/>
        <w:gridCol w:w="109"/>
        <w:gridCol w:w="344"/>
        <w:gridCol w:w="1175"/>
        <w:gridCol w:w="251"/>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 and supplies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82,681 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89,552 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compensation expense capitalized to inventory was $17,939 and $19,566 during the three months ended September 30, 2025 and 2024, respectively, and $53,028 and $58,539 during the nine months ended September 30, 2025 and 2024, respectively. At September 30, 2025 and December 31, 2024, $12,491 and $14,152, respectively, of compensation expense remained capitalized as part of inventory. The Company recognized, as a component of cost of goods sold, total write-downs related to net realizable value adjustments, expired products, and obsolete packaging totaling $6,967 and $1,749 during the three months ended September 30, 2025 and 2024, respectively, and $13,883 and $2,223 during the nine months ended September 30, 2025 and 2024, respectively. These amounts are included within “Other” on the unaudited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6. NOTES RECEIVABLE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Massachusetts Note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2022 the Company issued a secured promissory note to a retail dispensary license holder in Massachusetts providing up to $3,500 of funding, which note was amended in December 2023 (the “Massachusetts Note”). As amended, the Massachusetts Note provided for interest at a rate of 12.5% per annum, which was to be paid monthly beginning in January 2024, and principal was to be repaid monthly commencing in December 2024 based on a period of twenty-four months, with the remainder due at the December 1, 2025 revised maturity date. In April 2024, the Massachusetts Note was further amended to increase the principal to $4,100 and the additional payment was funded at that time. As of December 31, 2024, $4,100 was outstanding under the Massachusetts Note, which was included in “Notes receivable” on the unaudited Condensed Consolidated Balance Sheet, and interest receivable totaling $266, respectively, was included within “Other current assets.”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2025, the borrower entered into a purchase and sale agreement to be acquired by a third-party entity, which transaction closed in September 2025. The principal due under the Massachusetts Note and interest receivable totaling $679 was settled as part of that transaction and the obligations under the Massachusetts Note were satisfied. Prior to this transaction, the borrower was partially owned by an entity that was managed, in part, by one of the founders of the Company. Additionally, the Company transacts with the retail dispensary in the ordinary course of business.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Other Activity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conjunction with a definitive agreement that the Company entered into in April 2025, pursuant to which the Company proposes to acquire an entity that anticipates obtaining an adult-use license, as further described in Note 15, “Commitments and Contingencies,” the parties entered into working capital loan agreements to provide a maximum of approximately $900 of funding for the respective build out of each dispensary. Borrowings under each working capital loan bear interest at a rate of 7% per annum and borrowings and accrued interest shall be repaid following the termination of the related definitive agreement or settled as part of the associated transaction. Each working capital loan provides for customary events of default and is secured by the underlying assets of each party. The Company provided the counter-party with $285 of funding during the three months ended September 30, 2025, which is included in “Notes receivable” on the unaudited Condensed Consolidated Balance Sheet as of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in conjunction with the settlement of a previously outstanding note receivable, the Company entered into a supply agreement that provides for the Company to receive $6,000 of inventory products, based on market prices, over the course of three years, with a maximum of $500 per quarter. The Company recorded this receivable net of an initial discount of $984 that is included within “General and administrative expenses” on the unaudited Condensed Consolidated Statements of Operations for the nine months ended September 30, 2025 and within “Other” on the unaudited Condensed Consolidated Statements of Cash Flows. This discount was calculated utilizing the Company’s estimated incremental borrowing rate as of the agreement date and will be accreted to interest income over the agreement term. A total of $343 and $750 of inventory was supplied under this agreement during the three and nine months ended September 30, 2025, respectively. Of the remaining receivable outstanding as of September 30, 2025 and December 31, 2024, $1,000 is included within “Other current assets” as of each date and $421 and $1,084, respectively, is included within “Other noncurrent assets” on the unaudited Condensed Consolidated Balance Sheets. These amounts are net of reserves established in 2024 for collection risk, of which $1,000 is included in “Other current assets” and $1,083 is included within “Other noncurrent assets.”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 total of $3,716 was outstanding at September 30, 2025 related to a promissory note issued to the owner of a property that the Company is leasing, of which $182 and $3,534 is included in “Other current assets” and “Other noncurrent assets,” respectively, on the unaudited Condensed Consolidated Balance Sheets. At December 31, 2024, a total of $3,848 was outstanding, of which $177 and $3,671 is included in “Other current assets” and “Other noncurrent assets,” respectively, on the unaudited Condensed Consolidated Balance Sheets.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impairment losses on notes receivable were recognized during the nine months ended September 30, 2025 or 2024, other than as described above or in Note 15,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7. PROPERTY AND EQUIPMENT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consists of the following:</w:t>
      </w:r>
    </w:p>
    <w:tbl>
      <w:tblPr>
        <w:tblW w:w="6745" w:type="dxa"/>
        <w:jc w:val="left"/>
        <w:tblInd w:w="0" w:type="dxa"/>
        <w:tblLayout w:type="fixed"/>
        <w:tblCellMar>
          <w:top w:w="28" w:type="dxa"/>
          <w:left w:w="28" w:type="dxa"/>
          <w:bottom w:w="28" w:type="dxa"/>
          <w:right w:w="28" w:type="dxa"/>
        </w:tblCellMar>
      </w:tblPr>
      <w:tblGrid>
        <w:gridCol w:w="1040"/>
        <w:gridCol w:w="916"/>
        <w:gridCol w:w="923"/>
        <w:gridCol w:w="326"/>
        <w:gridCol w:w="1276"/>
        <w:gridCol w:w="168"/>
        <w:gridCol w:w="109"/>
        <w:gridCol w:w="109"/>
        <w:gridCol w:w="109"/>
        <w:gridCol w:w="313"/>
        <w:gridCol w:w="1228"/>
        <w:gridCol w:w="228"/>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202,548 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gross</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435,781 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377,372 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288,903 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260,461 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depreciation expense was $10,512 and $9,057 during the three months ended September 30, 2025 and 2024, respectively, and $30,094 and $27,341 during the nine months ended September 30, 2025 and 2024, respectively. Total depreciation expense capitalized to inventory was $6,786 and $6,380 during the three months ended September 30, 2025 and 2024, respectively, and $20,320 and $19,431 during the nine months ended September 30, 2025 and 2024, respectively. At September 30, 2025 and December 31, 2024, $1,112 and $3,174, respectively, of depreciation expense remained capitalized as part of inventory. Disposals and write offs of accumulated depreciation during the nine months ended September 30, 2025 were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above includes the following amounts related to finance leases:</w:t>
      </w:r>
    </w:p>
    <w:tbl>
      <w:tblPr>
        <w:tblW w:w="6729" w:type="dxa"/>
        <w:jc w:val="left"/>
        <w:tblInd w:w="0" w:type="dxa"/>
        <w:tblLayout w:type="fixed"/>
        <w:tblCellMar>
          <w:top w:w="28" w:type="dxa"/>
          <w:left w:w="28" w:type="dxa"/>
          <w:bottom w:w="28" w:type="dxa"/>
          <w:right w:w="28" w:type="dxa"/>
        </w:tblCellMar>
      </w:tblPr>
      <w:tblGrid>
        <w:gridCol w:w="1038"/>
        <w:gridCol w:w="912"/>
        <w:gridCol w:w="914"/>
        <w:gridCol w:w="358"/>
        <w:gridCol w:w="1226"/>
        <w:gridCol w:w="185"/>
        <w:gridCol w:w="109"/>
        <w:gridCol w:w="109"/>
        <w:gridCol w:w="109"/>
        <w:gridCol w:w="380"/>
        <w:gridCol w:w="1110"/>
        <w:gridCol w:w="279"/>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Equipment</w:t>
            </w:r>
            <w:r>
              <w:rPr>
                <w:rFonts w:ascii="Times New Roman;serif" w:hAnsi="Times New Roman;serif"/>
                <w:b w:val="false"/>
                <w:color w:val="000000"/>
                <w:sz w:val="13"/>
              </w:rPr>
              <w:t>(1)(2)</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Vehicles</w:t>
            </w:r>
            <w:r>
              <w:rPr>
                <w:rFonts w:ascii="Times New Roman;serif" w:hAnsi="Times New Roman;serif"/>
                <w:b w:val="false"/>
                <w:color w:val="000000"/>
                <w:sz w:val="13"/>
              </w:rPr>
              <w:t>(1)</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accumulated amortization</w:t>
            </w:r>
            <w:r>
              <w:rPr>
                <w:rFonts w:ascii="Times New Roman;serif" w:hAnsi="Times New Roman;serif"/>
                <w:b w:val="false"/>
                <w:color w:val="000000"/>
                <w:sz w:val="13"/>
              </w:rPr>
              <w:t>(3)</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w:t>
            </w:r>
            <w:r>
              <w:rPr>
                <w:rFonts w:ascii="Times New Roman;serif" w:hAnsi="Times New Roman;serif"/>
                <w:b/>
                <w:color w:val="000000"/>
                <w:sz w:val="13"/>
              </w:rPr>
              <w:t>(4)</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30,873 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Included within “Furniture, fixtures, and equipment.”</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Equipment leased pursuant to a master lease agreement that was entered into in June 2022.</w:t>
      </w:r>
    </w:p>
    <w:p>
      <w:pPr>
        <w:pStyle w:val="TextBody"/>
        <w:bidi w:val="0"/>
        <w:spacing w:lineRule="auto" w:line="288"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Included within “Accumulated depreciation.” Disposals and write offs of accumulated amortization during the nine months ended September 30, 2025 were not material.</w:t>
      </w:r>
    </w:p>
    <w:p>
      <w:pPr>
        <w:pStyle w:val="TextBody"/>
        <w:bidi w:val="0"/>
        <w:spacing w:lineRule="auto" w:line="288" w:before="0" w:after="12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Refer to Note 10, “Leases,” for additional information regarding our lease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8. VARIABLE INTEREST ENTITIES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terms of various agreements and contractual relationships to determine if it is the primary beneficiary, generally due to provisions that provide the Company with operational and financial influence over the underlying entity, as well as financial distributions based on the underlying associated results of operations. Such transactions may include support services agreements, management services agreements, loan or financing agreements, or various other contractual agreements. We assess all variable interests in the entity and use our judgment when determining if we are the primary beneficiary. In addition to contractual agreements with the VIE, other qualitative factors that are considered include decision-making responsibilities, the VIE capital structure, risk and rewards sharing, voting rights, and the level of involvement of other parties. We assess the primary beneficiary determination for a VIE on an ongoing basis if there are any changes in the facts and circumstances related to a VIE.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Where we determine we are the primary beneficiary of a VIE, we consolidate the accounts of that VIE. The equity owned by other stockholders is shown, as applicable,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January 2024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2024, the Company entered into a loan agreement pursuant to which the Company may provide, at its sole discretion, up to $2,500 of financing (the “January 2024 Loan Agreement”) to a third party (“Northeast Partnership One”). The January 2024 Loan Agreement provides the Company with conversion options to obtain 35% of the equity interests of the borrower upon the initial funding (which occurred in January 2024) and up to an additional 65% of the remaining equity interest of the borrower at any time through October 2033, subject to certain provisions and regulatory approvals. Borrowings under the January 2024 Loan Agreement bear interest at a rate of 20.0% per annum and are secured by substantially all of the assets and equity interests of the third party. The January 2024 Loan Agreement provides for customary events of default, contains certain covenants and other restrictions, and provides for a default penalty of an additional 6.0% interest. Borrowings are due on the sixth anniversary of the January 2024 Loan Agreement, which may be extended by two additional two-year periods, and prepayment is permitted with prior written notice.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January 2024 Loan Agreement also contains certain provisions and restrictive covenants that provide the Company with operational and financial influence over Northeast Partnership One and also provides the Company with financial distributions based on the underlying associated results of operations. The Company determined it has a variable interest in Northeast Partnership One and that it is the primary beneficiary, and, therefore, Northeast Partnership One met the criteria for consolidation as of such date. The underlying entity received a conditional license approval for one dispensary in New Jersey that was determined to have a fair value of $1,050, which approximated the fair value of the non-controlling interest held by the third-party member as of the effective date. The non-controlling interest received a distribution during 2024 in accordance with the provisions of the January 2024 Loan Agreement. Since the entity is consolidated as a VIE, the intercompany activity related to the January 2024 Loan Agreement is eliminated in consolidation. The net loss attributable to the non-controlling interest was not significant during the three and nine months ended September 30, 2025 and 2024.</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February 2024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the Company entered into a loan agreement pursuant to which the Company may provide financing (the “February 2024 Loan Agreement”), as amended, at its sole discretion, to a third party (the “Midwest Partnership One”). The parties also entered into a support services agreement under which the Company will provide management and advisory services to Midwest Partnership One for a set monthly fee. Borrowings under the February 2024 Loan Agreement bear interest at a rate of 20.0% per annum and are secured by substantially all of the assets of the borrower. The February 2024 Loan Agreement provides for customary events of default, contains certain covenants and other restrictions, and provides for a default penalty of an additional 5.0% interest. The February 2024 Loan Agreement matures ten years from issuance, but may be extended if not otherwise converted prior to maturity, with borrowings and interest not due until such time. The February 2024 Loan Agreement provides the Company with the option to convert the outstanding balance into equity interests of the borrower, up to 100%, as may be permissible by applicable regulations at such time.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February 2024 Loan Agreement contains certain provisions and restrictive covenants that provide the Company with operational and financial influence over Midwest Partnership One. The Company determined that the terms and provisions of the February 2024 Loan Agreement and support services agreement create a variable interest in Midwest Partnership One and met the criteria for consolidation as of such date. Since Midwest Partnership One is consolidated as a VIE, the intercompany activity related to the February 2024 Loan Agreement and the related support services agreement is eliminated in consolidation. Midwest Partnership One held no assets at the time the agreements were entered into and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fair value as of that date. The net loss attributable to the non-controlling interest was not significant during the three and nine months ended September 30, 2025 and 2024.</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Note 4, “Acquisitions,” for information regarding certain transactions related to Midwest Partnership One that are consolidated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Partnership Two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and a third party (“Northeast Partnership Two”) entered into a loan agreement pursuant to which the Company may provide to Northeast Partnership Two up to $2,500 of financing (the “Northeast Partnership Two Loan Agreement”). Borrowings under the Northeast Partnership Two Loan Agreement bear interest at a rate of 20% per annum and are secured by substantially all of the then-current and future assets and equity interests of the borrower. The Northeast Partnership Two Loan Agreement provides for customary events of default, contains certain covenants and other restrictions, and provides for a default penalty of an additional 6% interest. Borrowings are due on the tenth anniversary of the Northeast Partnership Two Loan Agreement. The Company has a direct equity ownership interest of 35% of the equity interests in the borrower and the Northeast Partnership Two Loan Agreement provides the Company with conversion options to obtain up to 100% at any time through the maturity date, subject to certain provisions and as may be permitted by applicable regulations.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Northeast Partnership Two Loan Agreement also contains certain provisions and restrictive covenants that provide the Company with operational and financial influence over Northeast Partnership Two and provides the Company with financial distributions based on the associated results of operations. The Company determined that the terms and provisions of the Northeast Partnership Two Loan Agreement create a variable interest in Northeast Partnership Two and met the criteria for consolidation as of such date. The Company and Northeast Partnership Two entered into a definitive agreement to acquire an entity that received licensing approvals for the operation of an adult-use dispensary for a total of $650 of cash consideration. This agreement is subject to regulatory approval, which is expected to be received within twelve to eighteen months following the signing date. The consideration was allocated to the cost of the license, of which $250 was paid at signing. The remaining $400 is due at the earlier of: (i) the first sale of cannabis at the associated dispensary, or (ii) the one year anniversary of the agreement date, and is included as a sellers’ note; refer to Note 11, “Debt.” Additionally, the Company recorded an acquisition-related deferred tax liability of $285, which was allocated to the license as additional cost basis as of the effective date. The Company will also assume the lease associated with the anticipated dispensary location.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and the net loss attributable to the non-controlling interest was not significant during the three and nine months ended September 30, 2025. Since the entity is consolidated as a VIE, the intercompany activity related to the Northeast Partnership Two Loan Agreement is eliminated in consolidation.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Partnership Three Loan Agreement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At its sole discretion, the Company may provide funding to a third party (“Northeast Partnership Three”) pursuant to a loan agreement (the “Northeast Partnership Three Loan Agreement”). The Northeast Partnership Three Loan Agreement provides the Company with the option to convert the outstanding balance into equity interests of the borrower, up to 100%, as may be permissible by applicable regulations at such time. Borrowings under the Northeast Partnership Three Loan Agreement bear interest at a rate of 20% per annum and are secured by substantially all of the then-current or future assets of the borrower, as applicable. The Northeast Partnership Three Loan Agreement matures ten years from issuance, but may be extended if not otherwise converted prior to maturity, with borrowings and interest not due until such time. This third party held no assets at the time the agreements were entered into and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fair value as of that date. Refer to Note 4, “Acquisitions,” for information regarding certain transactions related to Northeast Partnership Three that are consolidated as of September 30,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Northeast Partnership Four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and a third party (“Northeast Partnership Four”) entered into a loan agreement pursuant to which the Company may provide to Northeast Partnership Four up to $2,500 of financing (the “Northeast Partnership Four Loan Agreement”). Borrowings under the Northeast Partnership Four Loan Agreement bear interest at a rate of 20% per annum and are secured by substantially all of the then-current and future assets and equity interests of the borrower. The Northeast Partnership Four Loan Agreement provides for customary events of default, contains certain covenants and other restrictions, and provides for a default penalty of an additional 6% interest. Borrowings are due on the tenth anniversary of the Northeast Partnership Four Loan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Company has a direct equity ownership interest of 35% of the equity interests in the borrower and the Northeast Partnership Four Loan Agreement and associated agreements provide the Company with conversion options to obtain up to 100% at any time through the maturity date, subject to certain provisions and as may be permitted by applicable regulations. The Northeast Partnership Four Loan Agreement also contains provisions and restrictive covenants that provide the Company with operational and financial influence over Northeast Partnership Four and the underlying operating agreement provides the Company with financial distributions based on the associated results of operations. The Company determined that the terms and provisions of the Northeast Partnership Four Loan Agreement and associated agreements create a variable interest in Northeast Partnership Four and met the criteria for consolidation as of such date.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Since the entity is consolidated as a VIE, the intercompany activity related to the Northeast Partnership Four Loan Agreement is eliminated in consolidation.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Northeast Partnership Four entered into a definitive agreement to acquire an entity that received licensing approvals for the operation of an adult-use dispensary, subject to regulatory approval which is expected to be received within twelve to eighteen months following the signing date, for a total of $1,500 of cash consideration. Of the total consideration, $250 was paid as a deposit during the fourth quarter of 2024 and was included within “Other current assets” on the unaudited Condensed Consolidated Balance Sheet as of December 31, 2024, $250 was paid at signing, and the remaining $1,000 will be paid at final closing and is included as a sellers’ note; refer to Note 11, “Debt.” The Company will also assume the lease associated with the dispensary location. Of the total consideration, $1,383 was allocated to the cost of the license and $117 was allocated to the security deposit for the associated lease, which had a lease liability and ROU asset of $872 and is classified as a finance lease; refer to Note 10, “Leases,” for additional information regarding the Company’s lease arrangements. Additionally, the Company recorded an acquisition-related deferred tax liability of $607, which was allocated to the license as additional cost basis as of the effective date. The net loss attributable to the non-controlling interest was not significant during the three and nine months ended September 30, 2025.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summarized financial information about the Company’s consolidated VIEs which are included in the unaudited Condensed Consolidated Balance Sheets as of September 30, 2025 and December 31, 2024 and in the unaudited Condensed Consolidated Statements of Operations for the three and nine months ended September 30, 2025 and 2024, as applicable. The underlying entities were determined to be VIEs since the Company possesses the power to direct the significant activities of the VIEs and has the obligation to absorb losses or the right to receive benefits from the VIEs. The information below excludes intercompany balances and activity that eliminate in consolidation and includes the related acquisition details disclosed in Note 4, “Acquisitions.” </w:t>
      </w:r>
    </w:p>
    <w:tbl>
      <w:tblPr>
        <w:tblW w:w="5875" w:type="dxa"/>
        <w:jc w:val="left"/>
        <w:tblInd w:w="0" w:type="dxa"/>
        <w:tblLayout w:type="fixed"/>
        <w:tblCellMar>
          <w:top w:w="28" w:type="dxa"/>
          <w:left w:w="28" w:type="dxa"/>
          <w:bottom w:w="28" w:type="dxa"/>
          <w:right w:w="28" w:type="dxa"/>
        </w:tblCellMar>
      </w:tblPr>
      <w:tblGrid>
        <w:gridCol w:w="729"/>
        <w:gridCol w:w="640"/>
        <w:gridCol w:w="641"/>
        <w:gridCol w:w="358"/>
        <w:gridCol w:w="1226"/>
        <w:gridCol w:w="185"/>
        <w:gridCol w:w="109"/>
        <w:gridCol w:w="109"/>
        <w:gridCol w:w="109"/>
        <w:gridCol w:w="380"/>
        <w:gridCol w:w="1110"/>
        <w:gridCol w:w="279"/>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2096" w:type="dxa"/>
            <w:gridSpan w:val="6"/>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Deficit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09" w:type="dxa"/>
        <w:jc w:val="left"/>
        <w:tblInd w:w="0" w:type="dxa"/>
        <w:tblLayout w:type="fixed"/>
        <w:tblCellMar>
          <w:top w:w="28" w:type="dxa"/>
          <w:left w:w="28" w:type="dxa"/>
          <w:bottom w:w="28" w:type="dxa"/>
          <w:right w:w="28" w:type="dxa"/>
        </w:tblCellMar>
      </w:tblPr>
      <w:tblGrid>
        <w:gridCol w:w="554"/>
        <w:gridCol w:w="487"/>
        <w:gridCol w:w="488"/>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76" w:type="dxa"/>
            <w:gridSpan w:val="12"/>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9. INTANGIBLE ASSETS AND GOODWILL</w:t>
      </w:r>
    </w:p>
    <w:tbl>
      <w:tblPr>
        <w:tblW w:w="6221" w:type="dxa"/>
        <w:jc w:val="left"/>
        <w:tblInd w:w="0" w:type="dxa"/>
        <w:tblLayout w:type="fixed"/>
        <w:tblCellMar>
          <w:top w:w="28" w:type="dxa"/>
          <w:left w:w="28" w:type="dxa"/>
          <w:bottom w:w="28" w:type="dxa"/>
          <w:right w:w="28" w:type="dxa"/>
        </w:tblCellMar>
      </w:tblPr>
      <w:tblGrid>
        <w:gridCol w:w="853"/>
        <w:gridCol w:w="750"/>
        <w:gridCol w:w="752"/>
        <w:gridCol w:w="326"/>
        <w:gridCol w:w="1276"/>
        <w:gridCol w:w="168"/>
        <w:gridCol w:w="109"/>
        <w:gridCol w:w="109"/>
        <w:gridCol w:w="109"/>
        <w:gridCol w:w="313"/>
        <w:gridCol w:w="1228"/>
        <w:gridCol w:w="228"/>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 and permits</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262,017 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298,904 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277,260 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 and permits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In-place leases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(92,039)</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(71,758)</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net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205,502 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color w:val="000000"/>
          <w:sz w:val="20"/>
        </w:rPr>
        <w:t>Amortization expense related to intangible assets was $6,871 and $6,842 during the three</w:t>
      </w:r>
      <w:r>
        <w:rPr>
          <w:color w:val="070707"/>
        </w:rPr>
        <w:t xml:space="preserve"> </w:t>
      </w:r>
      <w:r>
        <w:rPr>
          <w:rFonts w:ascii="Times New Roman;serif" w:hAnsi="Times New Roman;serif"/>
          <w:b w:val="false"/>
          <w:color w:val="070707"/>
          <w:sz w:val="20"/>
        </w:rPr>
        <w:t xml:space="preserve">months ended September 30, 2025 and 2024, respectively, and </w:t>
      </w:r>
      <w:r>
        <w:rPr>
          <w:rFonts w:ascii="Times New Roman;serif" w:hAnsi="Times New Roman;serif"/>
          <w:b w:val="false"/>
          <w:color w:val="000000"/>
          <w:sz w:val="20"/>
        </w:rPr>
        <w:t>$20,281 and $20,411 during</w:t>
      </w:r>
      <w:r>
        <w:rPr>
          <w:color w:val="070707"/>
        </w:rPr>
        <w:t xml:space="preserve"> </w:t>
      </w:r>
      <w:r>
        <w:rPr>
          <w:rFonts w:ascii="Times New Roman;serif" w:hAnsi="Times New Roman;serif"/>
          <w:b w:val="false"/>
          <w:color w:val="070707"/>
          <w:sz w:val="20"/>
        </w:rPr>
        <w:t xml:space="preserve">the </w:t>
      </w:r>
      <w:r>
        <w:rPr>
          <w:rFonts w:ascii="Times New Roman;serif" w:hAnsi="Times New Roman;serif"/>
          <w:b w:val="false"/>
          <w:color w:val="000000"/>
          <w:sz w:val="20"/>
        </w:rPr>
        <w:t>nine</w:t>
      </w:r>
      <w:r>
        <w:rPr>
          <w:color w:val="070707"/>
        </w:rPr>
        <w:t xml:space="preserve"> </w:t>
      </w:r>
      <w:r>
        <w:rPr>
          <w:rFonts w:ascii="Times New Roman;serif" w:hAnsi="Times New Roman;serif"/>
          <w:b w:val="false"/>
          <w:color w:val="070707"/>
          <w:sz w:val="20"/>
        </w:rPr>
        <w:t xml:space="preserve">months ended September 30, 2025 and 2024, respectively. Total amortization expense capitalized to inventory was $754 and </w:t>
      </w:r>
      <w:r>
        <w:rPr>
          <w:rFonts w:ascii="Times New Roman;serif" w:hAnsi="Times New Roman;serif"/>
          <w:b w:val="false"/>
          <w:color w:val="000000"/>
          <w:sz w:val="20"/>
        </w:rPr>
        <w:t>$755</w:t>
      </w:r>
      <w:r>
        <w:rPr>
          <w:color w:val="070707"/>
        </w:rPr>
        <w:t xml:space="preserve"> </w:t>
      </w:r>
      <w:r>
        <w:rPr>
          <w:rFonts w:ascii="Times New Roman;serif" w:hAnsi="Times New Roman;serif"/>
          <w:b w:val="false"/>
          <w:color w:val="000000"/>
          <w:sz w:val="20"/>
        </w:rPr>
        <w:t>during the three</w:t>
      </w:r>
      <w:r>
        <w:rPr>
          <w:color w:val="070707"/>
        </w:rPr>
        <w:t xml:space="preserve"> </w:t>
      </w:r>
      <w:r>
        <w:rPr>
          <w:rFonts w:ascii="Times New Roman;serif" w:hAnsi="Times New Roman;serif"/>
          <w:b w:val="false"/>
          <w:color w:val="070707"/>
          <w:sz w:val="20"/>
        </w:rPr>
        <w:t xml:space="preserve">months ended September 30, 2025 and 2024, respectively, and </w:t>
      </w:r>
      <w:r>
        <w:rPr>
          <w:rFonts w:ascii="Times New Roman;serif" w:hAnsi="Times New Roman;serif"/>
          <w:b w:val="false"/>
          <w:color w:val="000000"/>
          <w:sz w:val="20"/>
        </w:rPr>
        <w:t>$2,263 during</w:t>
      </w:r>
      <w:r>
        <w:rPr>
          <w:color w:val="070707"/>
        </w:rPr>
        <w:t xml:space="preserve"> </w:t>
      </w:r>
      <w:r>
        <w:rPr>
          <w:rFonts w:ascii="Times New Roman;serif" w:hAnsi="Times New Roman;serif"/>
          <w:b w:val="false"/>
          <w:color w:val="070707"/>
          <w:sz w:val="20"/>
        </w:rPr>
        <w:t xml:space="preserve">each of the </w:t>
      </w:r>
      <w:r>
        <w:rPr>
          <w:rFonts w:ascii="Times New Roman;serif" w:hAnsi="Times New Roman;serif"/>
          <w:b w:val="false"/>
          <w:color w:val="000000"/>
          <w:sz w:val="20"/>
        </w:rPr>
        <w:t>nine</w:t>
      </w:r>
      <w:r>
        <w:rPr>
          <w:color w:val="070707"/>
        </w:rPr>
        <w:t xml:space="preserve"> </w:t>
      </w:r>
      <w:r>
        <w:rPr>
          <w:rFonts w:ascii="Times New Roman;serif" w:hAnsi="Times New Roman;serif"/>
          <w:b w:val="false"/>
          <w:color w:val="070707"/>
          <w:sz w:val="20"/>
        </w:rPr>
        <w:t xml:space="preserve">months ended September 30, 2025 and 2024. </w:t>
      </w:r>
      <w:r>
        <w:rPr>
          <w:rFonts w:ascii="Times New Roman;serif" w:hAnsi="Times New Roman;serif"/>
          <w:b w:val="false"/>
          <w:color w:val="000000"/>
          <w:sz w:val="20"/>
        </w:rPr>
        <w:t xml:space="preserve">At September 30, 2025 and December 31, 2024, $430 and $994, respectively, of amortization expense remained capitalized as part of inventory.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Goodwill</w:t>
      </w:r>
    </w:p>
    <w:tbl>
      <w:tblPr>
        <w:tblW w:w="5012" w:type="dxa"/>
        <w:jc w:val="left"/>
        <w:tblInd w:w="0" w:type="dxa"/>
        <w:tblLayout w:type="fixed"/>
        <w:tblCellMar>
          <w:top w:w="28" w:type="dxa"/>
          <w:left w:w="28" w:type="dxa"/>
          <w:bottom w:w="28" w:type="dxa"/>
          <w:right w:w="28" w:type="dxa"/>
        </w:tblCellMar>
      </w:tblPr>
      <w:tblGrid>
        <w:gridCol w:w="1303"/>
        <w:gridCol w:w="1146"/>
        <w:gridCol w:w="1150"/>
        <w:gridCol w:w="109"/>
        <w:gridCol w:w="109"/>
        <w:gridCol w:w="109"/>
        <w:gridCol w:w="211"/>
        <w:gridCol w:w="721"/>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Adjustments to purchase price allocation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Refer to Note 4, “Acquisitions,” for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impairment indicators were noted during the nine months ended September 30, 2025 or 2024 and, as such, we did not record any impairment charges during either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10. LEASES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leases land, buildings, equipment, and other capital assets which it uses for corporate purposes and the production and sale of cannabis products with terms generally ranging from one to 20 years.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and begin recording lease activity at the commencement date, which is generally the date in which we take possession of or control the physical use of the asset. ROU assets and lease liabilities are recognized based on the present value of lease payments over the lease term, with lease expense recognized on a straight-line basis. 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 We typically exclude options to extend the lease in a lease term unless it is reasonably certain that we will exercise the option and when doing so is at our sole discretion. Our lease agreements generally do not contain any material residual value guarantees or material restrictive covenants. We may rent or sublease to third parties certain real property assets that we no longer use.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lease assets and lease liabilities and their classification on the unaudited Condensed Consolidated Balance Sheets were as follows:</w:t>
      </w:r>
    </w:p>
    <w:tbl>
      <w:tblPr>
        <w:tblW w:w="9573" w:type="dxa"/>
        <w:jc w:val="left"/>
        <w:tblInd w:w="0" w:type="dxa"/>
        <w:tblLayout w:type="fixed"/>
        <w:tblCellMar>
          <w:top w:w="28" w:type="dxa"/>
          <w:left w:w="28" w:type="dxa"/>
          <w:bottom w:w="28" w:type="dxa"/>
          <w:right w:w="28" w:type="dxa"/>
        </w:tblCellMar>
      </w:tblPr>
      <w:tblGrid>
        <w:gridCol w:w="686"/>
        <w:gridCol w:w="601"/>
        <w:gridCol w:w="602"/>
        <w:gridCol w:w="109"/>
        <w:gridCol w:w="109"/>
        <w:gridCol w:w="109"/>
        <w:gridCol w:w="1054"/>
        <w:gridCol w:w="1054"/>
        <w:gridCol w:w="1056"/>
        <w:gridCol w:w="109"/>
        <w:gridCol w:w="109"/>
        <w:gridCol w:w="109"/>
        <w:gridCol w:w="326"/>
        <w:gridCol w:w="1276"/>
        <w:gridCol w:w="168"/>
        <w:gridCol w:w="109"/>
        <w:gridCol w:w="109"/>
        <w:gridCol w:w="109"/>
        <w:gridCol w:w="313"/>
        <w:gridCol w:w="1228"/>
        <w:gridCol w:w="228"/>
      </w:tblGrid>
      <w:tr>
        <w:trPr/>
        <w:tc>
          <w:tcPr>
            <w:tcW w:w="68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153,132 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142,277 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267,221 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286,415 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275,900 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and classification within the unaudited Condensed Consolidated Statements of Operations were as follows:</w:t>
      </w:r>
    </w:p>
    <w:tbl>
      <w:tblPr>
        <w:tblW w:w="8175" w:type="dxa"/>
        <w:jc w:val="left"/>
        <w:tblInd w:w="0" w:type="dxa"/>
        <w:tblLayout w:type="fixed"/>
        <w:tblCellMar>
          <w:top w:w="28" w:type="dxa"/>
          <w:left w:w="28" w:type="dxa"/>
          <w:bottom w:w="28" w:type="dxa"/>
          <w:right w:w="28" w:type="dxa"/>
        </w:tblCellMar>
      </w:tblPr>
      <w:tblGrid>
        <w:gridCol w:w="1119"/>
        <w:gridCol w:w="985"/>
        <w:gridCol w:w="986"/>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to 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lease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leased assets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Included as a component of depreciation expense within “General and administrative expenses” on the accompanying unaudited Condensed Consolidated Statements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and December 31, 2024, $5,929 and $6,886, respectively, of lease costs remained capitalized in inventory.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on short-term and variable lease costs:</w:t>
      </w:r>
    </w:p>
    <w:tbl>
      <w:tblPr>
        <w:tblW w:w="8145" w:type="dxa"/>
        <w:jc w:val="left"/>
        <w:tblInd w:w="0" w:type="dxa"/>
        <w:tblLayout w:type="fixed"/>
        <w:tblCellMar>
          <w:top w:w="28" w:type="dxa"/>
          <w:left w:w="28" w:type="dxa"/>
          <w:bottom w:w="28" w:type="dxa"/>
          <w:right w:w="28" w:type="dxa"/>
        </w:tblCellMar>
      </w:tblPr>
      <w:tblGrid>
        <w:gridCol w:w="1222"/>
        <w:gridCol w:w="1075"/>
        <w:gridCol w:w="107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and variable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Sublease income generated during the three and nine months ended September 30, 2025 and 2024 was immaterial.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supplemental cash and non-cash information related to our leases:</w:t>
      </w:r>
    </w:p>
    <w:tbl>
      <w:tblPr>
        <w:tblW w:w="8259" w:type="dxa"/>
        <w:jc w:val="left"/>
        <w:tblInd w:w="0" w:type="dxa"/>
        <w:tblLayout w:type="fixed"/>
        <w:tblCellMar>
          <w:top w:w="28" w:type="dxa"/>
          <w:left w:w="28" w:type="dxa"/>
          <w:bottom w:w="28" w:type="dxa"/>
          <w:right w:w="28" w:type="dxa"/>
        </w:tblCellMar>
      </w:tblPr>
      <w:tblGrid>
        <w:gridCol w:w="2100"/>
        <w:gridCol w:w="1845"/>
        <w:gridCol w:w="1860"/>
        <w:gridCol w:w="211"/>
        <w:gridCol w:w="721"/>
        <w:gridCol w:w="109"/>
        <w:gridCol w:w="109"/>
        <w:gridCol w:w="109"/>
        <w:gridCol w:w="109"/>
        <w:gridCol w:w="211"/>
        <w:gridCol w:w="721"/>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lease obligations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certain leases were amended that resulted in modification treatment. Based on the modified terms, operating leases with a total of $16,770 of ROU assets and $23,421 of lease liabilities were reclassified as finance leases, with a total of $17,320 of ROU assets and $23,974 of lease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remaining lease term and discount rate:</w:t>
      </w:r>
    </w:p>
    <w:tbl>
      <w:tblPr>
        <w:tblW w:w="7556" w:type="dxa"/>
        <w:jc w:val="left"/>
        <w:tblInd w:w="0" w:type="dxa"/>
        <w:tblLayout w:type="fixed"/>
        <w:tblCellMar>
          <w:top w:w="28" w:type="dxa"/>
          <w:left w:w="28" w:type="dxa"/>
          <w:bottom w:w="28" w:type="dxa"/>
          <w:right w:w="28" w:type="dxa"/>
        </w:tblCellMar>
      </w:tblPr>
      <w:tblGrid>
        <w:gridCol w:w="1337"/>
        <w:gridCol w:w="1174"/>
        <w:gridCol w:w="1179"/>
        <w:gridCol w:w="394"/>
        <w:gridCol w:w="394"/>
        <w:gridCol w:w="982"/>
        <w:gridCol w:w="109"/>
        <w:gridCol w:w="109"/>
        <w:gridCol w:w="109"/>
        <w:gridCol w:w="360"/>
        <w:gridCol w:w="360"/>
        <w:gridCol w:w="1049"/>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term (years)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amounts of future undiscounted cash flows related to the lease payments over the lease terms and the reconciliation to the present value of the lease liabilities as recorded on our unaudited Condensed Consolidated Balance Sheet as of September 30, 2025 are as follows:</w:t>
      </w:r>
    </w:p>
    <w:tbl>
      <w:tblPr>
        <w:tblW w:w="8029" w:type="dxa"/>
        <w:jc w:val="left"/>
        <w:tblInd w:w="0" w:type="dxa"/>
        <w:tblLayout w:type="fixed"/>
        <w:tblCellMar>
          <w:top w:w="28" w:type="dxa"/>
          <w:left w:w="28" w:type="dxa"/>
          <w:bottom w:w="28" w:type="dxa"/>
          <w:right w:w="28" w:type="dxa"/>
        </w:tblCellMar>
      </w:tblPr>
      <w:tblGrid>
        <w:gridCol w:w="1005"/>
        <w:gridCol w:w="884"/>
        <w:gridCol w:w="885"/>
        <w:gridCol w:w="447"/>
        <w:gridCol w:w="1752"/>
        <w:gridCol w:w="231"/>
        <w:gridCol w:w="109"/>
        <w:gridCol w:w="109"/>
        <w:gridCol w:w="109"/>
        <w:gridCol w:w="453"/>
        <w:gridCol w:w="1548"/>
        <w:gridCol w:w="234"/>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596,985 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348,919 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Present value of lease liabilities</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248,066 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38,349 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 Leaseback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cash payments due under transactions that did not qualify for sale 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 </w:t>
      </w:r>
    </w:p>
    <w:tbl>
      <w:tblPr>
        <w:tblW w:w="10205" w:type="dxa"/>
        <w:jc w:val="left"/>
        <w:tblInd w:w="0" w:type="dxa"/>
        <w:tblLayout w:type="fixed"/>
        <w:tblCellMar>
          <w:top w:w="28" w:type="dxa"/>
          <w:left w:w="28" w:type="dxa"/>
          <w:bottom w:w="28" w:type="dxa"/>
          <w:right w:w="28" w:type="dxa"/>
        </w:tblCellMar>
      </w:tblPr>
      <w:tblGrid>
        <w:gridCol w:w="405"/>
        <w:gridCol w:w="293"/>
        <w:gridCol w:w="294"/>
        <w:gridCol w:w="109"/>
        <w:gridCol w:w="109"/>
        <w:gridCol w:w="109"/>
        <w:gridCol w:w="287"/>
        <w:gridCol w:w="635"/>
        <w:gridCol w:w="14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0"/>
        <w:gridCol w:w="671"/>
        <w:gridCol w:w="120"/>
        <w:gridCol w:w="109"/>
        <w:gridCol w:w="109"/>
        <w:gridCol w:w="109"/>
        <w:gridCol w:w="211"/>
        <w:gridCol w:w="721"/>
        <w:gridCol w:w="157"/>
      </w:tblGrid>
      <w:tr>
        <w:trPr/>
        <w:tc>
          <w:tcPr>
            <w:tcW w:w="4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due under financing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11. DEBT</w:t>
      </w:r>
    </w:p>
    <w:tbl>
      <w:tblPr>
        <w:tblW w:w="7450" w:type="dxa"/>
        <w:jc w:val="left"/>
        <w:tblInd w:w="0" w:type="dxa"/>
        <w:tblLayout w:type="fixed"/>
        <w:tblCellMar>
          <w:top w:w="28" w:type="dxa"/>
          <w:left w:w="28" w:type="dxa"/>
          <w:bottom w:w="28" w:type="dxa"/>
          <w:right w:w="28" w:type="dxa"/>
        </w:tblCellMar>
      </w:tblPr>
      <w:tblGrid>
        <w:gridCol w:w="1299"/>
        <w:gridCol w:w="1141"/>
        <w:gridCol w:w="1144"/>
        <w:gridCol w:w="326"/>
        <w:gridCol w:w="1276"/>
        <w:gridCol w:w="168"/>
        <w:gridCol w:w="109"/>
        <w:gridCol w:w="109"/>
        <w:gridCol w:w="109"/>
        <w:gridCol w:w="313"/>
        <w:gridCol w:w="1228"/>
        <w:gridCol w:w="228"/>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2024 Term Notes</w:t>
            </w:r>
            <w:r>
              <w:rPr>
                <w:rFonts w:ascii="Times New Roman;serif" w:hAnsi="Times New Roman;serif"/>
                <w:b w:val="false"/>
                <w:color w:val="000000"/>
                <w:sz w:val="13"/>
              </w:rPr>
              <w:t>(1)</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2021 Credit Facility</w:t>
            </w:r>
            <w:r>
              <w:rPr>
                <w:rFonts w:ascii="Times New Roman;serif" w:hAnsi="Times New Roman;serif"/>
                <w:b w:val="false"/>
                <w:color w:val="000000"/>
                <w:sz w:val="13"/>
              </w:rPr>
              <w:t>(2)</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Finance leases</w:t>
            </w:r>
            <w:r>
              <w:rPr>
                <w:rFonts w:ascii="Times New Roman;serif" w:hAnsi="Times New Roman;serif"/>
                <w:b w:val="false"/>
                <w:color w:val="000000"/>
                <w:sz w:val="13"/>
              </w:rPr>
              <w:t>(3)</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Sellers’ notes</w:t>
            </w:r>
            <w:r>
              <w:rPr>
                <w:rFonts w:ascii="Times New Roman;serif" w:hAnsi="Times New Roman;serif"/>
                <w:b w:val="false"/>
                <w:color w:val="000000"/>
                <w:sz w:val="13"/>
              </w:rPr>
              <w:t>(4)</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Finance liabilities</w:t>
            </w:r>
            <w:r>
              <w:rPr>
                <w:rFonts w:ascii="Times New Roman;serif" w:hAnsi="Times New Roman;serif"/>
                <w:b w:val="false"/>
                <w:color w:val="000000"/>
                <w:sz w:val="13"/>
              </w:rPr>
              <w:t>(5)</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Mortgage Note</w:t>
            </w:r>
            <w:r>
              <w:rPr>
                <w:rFonts w:ascii="Times New Roman;serif" w:hAnsi="Times New Roman;serif"/>
                <w:b w:val="false"/>
                <w:color w:val="000000"/>
                <w:sz w:val="13"/>
              </w:rPr>
              <w:t>(6)</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Financing Agreement</w:t>
            </w:r>
            <w:r>
              <w:rPr>
                <w:rFonts w:ascii="Times New Roman;serif" w:hAnsi="Times New Roman;serif"/>
                <w:b w:val="false"/>
                <w:color w:val="000000"/>
                <w:sz w:val="13"/>
              </w:rPr>
              <w:t>(7)</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388,351 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329,334 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portion of debt, net</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73,881 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deferred financing costs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Long-term debt, net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343,749 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234,542 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On July 16, 2024, the Company issued $235,000 in aggregate principal of senior secured notes due July 16, 2029 (the “July 2024 Term Notes”) through a private placement (the “2024 Notes Offering”). The July 2024 Term Notes were issued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July 2024 Term Notes were funded by a combination of new and existing lenders. Borrowings from these existing lenders were accounted for as a modification of existing debt. The Company incurred approximately $3,600 of other expenses associated with this transaction that were not capitalizable.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 January 2025,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 as further described below. The January 2025 Term Notes were funded by existing lenders and met the criteria for modification accounting treatment. The total of the original issue discount and other capitalized direct financing fees was approximately $700 and will be amortized over the associated term using the straight-line method, which approximates the interest method. The Company incurred $400 of other expenses associated with this transaction that were not capitalizable and are included within “General and administrative expenses” on the unaudited Condensed Consolidated Statements of Operations for the nine months ended September 30, 2025. The Company intends to utilize the net proceeds from the January 2025 Term Notes for general corporate purposes, including to fund growth initiatives.</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 May 2025, the Company borrowed an additional $50,000 through the issuance of additional term loans (the “May 2025 Term Notes,” and, together with the July 2024 Term Notes and January 2025 Term Notes, the “2024 Term Notes”). The May 2025 Term Notes were issued at 97.5% of face value and are subject to the same terms and provisions of the July 2024 Loan Agreement, including the interest rate and maturity date thereunder, as further described below. The May 2025 Term Notes were funded by existing lenders and met the criteria for modification accounting treatment. The total of the original issue discount and other capitalized direct financing fees was approximately $1,600 and will be amortized over the associated term using the straight-line method, which approximates the interest method. The Company incurred approximately $700 of other expenses associated with this transaction that were not capitalizable and are included within “General and administrative expenses” on the unaudited Condensed Consolidated Statements of Operations for the nine months ended September 30, 2025. The Company utilized the net proceeds from the May 2025 Term Notes, along with cash on hand, to prepay the remaining $60,000 of borrowings outstanding under the 2021 Credit Facility, as further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2024 Term Notes bear interest at a rate of 12.75% per annum, payable semi-annually in arrears on January 15 and July 15 of each year until the maturity date, commencing on January 15, 2025, unless earlier prepaid in accordance with the terms of the July 2024 Loan Agreement. In conjunction with the May 2025 Term Notes, those lenders prepaid $2,323 of accrued interest from the January 15 interest payment date through issuance, and, in turn, received interest for the full interest payment period that was payable on July 15, 2025.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 In addition, subject to certain limitations, the July 2024 Loan Agreement permits the Company to issue additional notes thereunder, and provided for up to an additional $60,000 in aggregate principal with the proceeds therefrom to be used to prepay the remaining outstanding balance under, and to terminate, the 2021 Credit Facility. In May 2025, the Company issued an additional $50,000 of term loans pursuant to this provision, as described above.</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In January 2025, the July 2024 Loan Agreement was amended to modify certain terms and provisions, which amended terms and provisions were not due to actual or anticipated covenant violations. The July 2024 Loan Agreement requires the Company, on a consolidated basis, to maintain liquidity, consisting of cash and/or cash equivalents plus any future revolving credit availability, as of the last day of each fiscal month, as amended, in an aggregate amount of at least $20,000, with which the Company was in compliance as of September 30, 2025. The Company is required to comply with certain other financial covenants in contemplation of certain transactions or events, such as acquisitions and other financing activities, as defined within and provided for under the July 2024 Loan Agreement, as amended.</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On August 27, 2021, the Company entered into a credit agreement with a group of lenders (the “2021 Credit Agreement”) that provided for an initial term loan of $210,000 (the “2021 Credit Facility”), which was borrowed in full. The 2021 Credit Agreement provided for an expansion feature that allowed the Company to request an increase in the 2021 Credit Facility up to $275,000 if the then-existing lenders (or other lenders) agreed to provide such additional term loans. During the second quarter of 2022, the Company borrowed an additional $65,000 pursuant to this expansion feature (the “2022 Loans”).</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2021 Credit Facility had a maturity date of August 27, 2025 and did not require scheduled principal amortization payments. Prepayments were permitted at any time, subject to a customary make-whole payment or prepayment penalty, as applicable. In June 2024, the 2021 Credit Agreement was amended to, among other things, permit the Company to issue new senior secured notes. In July 2024, the Company prepaid $215,000 of borrowings outstanding under the 2021 Credit Facility (the “July 2024 Prepayment”), primarily utilizing the proceeds from the issuance of the 2024 Term Notes, as discussed above. The Company recognized, as a component of interest expense during the third quarter of 2024, a loss on extinguishment of $5,475 related to the July 2024 Prepayment, which included $3,527 of prepayment fees and the write-off of $1,948 of unamortized deferred financing costs that were attributable to those lenders who did not provide funding under the 2024 Term Notes. A total of $1,579 of prepayment fees and $1,428 of previously unamortized deferred financing costs that were associated with existing lenders remained capitalized and were deferred over the term of the 2024 Term Notes in accordance with modification treatment. A total of $943 of unamortized deferred financing costs were associated with the portion of the 2021 Credit Facility that was not prepaid and were amortized through the remaining term of those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A total of $60,000 remained outstanding under the 2021 Credit Agreement following the July 2024 Prepayment and was subsequently prepaid in full in May 2025 (the “May 2025 Prepayment”) utilizing the proceeds from the May 2025 Term Notes, along with cash on hand, as further described above. In conjunction with the May 2025 Prepayment, the Company recognized a loss on extinguishment of $126, primarily consisting of unamortized deferred financing costs that were then-outstanding. Following the May 2025 Prepayment, the 2021 Credit Facility was terminated and the obligations thereunder were considered satisfied in full.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Prior to prepayment, borrowings under the 2021 Credit Facility bore interest at a rate of 9.5% per annum, payable quarterly and, as to any portion of the term loan that is prepaid, on the date of prepayment. We incurred initial financing costs of $8,806 and additional financing costs of $7,606 related to the 2022 Loans, which included warrants issued to certain lenders to acquire 3,130 shares of Class A common stock that had a fair value of $2,639 at issuance. The financing costs were amortized to interest expense over the term of 2021 Credit Facility using the straight-line method which approximated the interest rate method.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occurred.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was required to comply with two financial covenants under the 2021 Credit Agreement. The Company could not permit its liquidity (defined as unrestricted cash and cash equivalents pledged under the 2021 Credit Facility plus any future revolving credit availability) to be below $20,000 as of the last day of any fiscal quarter. Additionally, the Company could not permit the ratio of Consolidated EBITDA (as defined in the 2021 Credit Agreement) to consolidated cash interest expense for any period of four consecutive fiscal quarters to be less than 2.50:1.00. The Company was in compliance with these covenants, as applicable, through the termination of the 2021 Credit Agreement.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 xml:space="preserve">The 2021 Credit Agreement required the Company to make certain representations and warranties and to comply with customary covenants, including restrictions on the payment of dividends, repurchase of stock, incurrence of indebtedness, dispositions, and acquisitions. The 2021 Credit Agreement also contained customary events of default, which did not occur. The 2021 Credit Facility was guaranteed by all of the Company’s subsidiaries and was secured by substantially all of the assets of the Company and its subsidiaries. </w:t>
      </w:r>
    </w:p>
    <w:p>
      <w:pPr>
        <w:pStyle w:val="TextBody"/>
        <w:bidi w:val="0"/>
        <w:spacing w:lineRule="auto" w:line="288"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Liabilities related to finance leases. See Note 10, “Leases,”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Sellers’ notes consist of amounts owed for acquisitions or other purchases. As of September 30, 2025 and December 31, 2024, sellers’ notes includes the OPA Sellers’ Note which had a balance of $9,000 and $11,000, respectively, included in “Current portion of debt, net” at each date. The OPA Sellers’ Note was initially recorded net of a discount of $3,010 that was calculated utilizing the Company’s estimated incremental borrowing rate based on the anticipated close date and was accreted to interest expense over an expected term. Additionally, as of September 30, 2025, sellers’ notes includes a total of $7,400 related to acquisitions associated with Midwest Partnership One, $4,757 related to acquisitions with Northeast Partnership Three, as further described in Note 4, “Acquisitions,” and $1,400 related to acquisitions with other partnerships, as further described in Note 8, “Variable Interest Entities,” which are included within Current portion of debt, net as of September 30, 2025. The amount outstanding as of December 31, 2024 also included the remaining amount payable related to the Massachusetts Purchase Agreement, as further described in Note 4, “Acquisitions,” which was paid during the second quarter of 2025.</w:t>
      </w:r>
    </w:p>
    <w:p>
      <w:pPr>
        <w:pStyle w:val="TextBody"/>
        <w:bidi w:val="0"/>
        <w:spacing w:lineRule="auto" w:line="288" w:before="0" w:after="12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Finance liabilities related to failed sale leaseback transactions. See Note 10, “Leases,”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20"/>
        <w:ind w:left="0" w:right="0" w:hanging="360"/>
        <w:jc w:val="both"/>
        <w:rPr/>
      </w:pPr>
      <w:r>
        <w:rPr>
          <w:rFonts w:ascii="Times New Roman;serif" w:hAnsi="Times New Roman;serif"/>
          <w:b w:val="false"/>
          <w:color w:val="000000"/>
          <w:sz w:val="12"/>
        </w:rPr>
        <w:t>(6)</w:t>
      </w:r>
      <w:r>
        <w:rPr>
          <w:rFonts w:ascii="Times New Roman;serif" w:hAnsi="Times New Roman;serif"/>
          <w:b w:val="false"/>
          <w:color w:val="000000"/>
          <w:sz w:val="18"/>
        </w:rPr>
        <w:t>On September 29, 2025, certain of the Company’s subsidiaries (the “Borrowing Subsidiaries”) entered into a loan agreement and related promissory note with an aggregate principal amount of $9,345 (the “Mortgage Note”), which was borrowed in full. The Company anticipates utilizing the net proceeds for general corporate purposes, including to fund growth initiatives. The Mortgage Note matures on September 29, 2030 and borrowings thereunder bear interest at a rate of 8.5% per annum. Monthly payments of principal and interest will commence on November 1, 2025. Principal will be repaid based on an amortization period of twenty years and any unpaid principal and accrued interest will be due and payable upon maturity. As of September 30, 2025, $163 of principal is included within “Current portion of debt, net” and $9,182 is included within “Long-term debt, net” on the unaudited Condensed Consolidated Balance Sheet. The Company incurred $102 of direct financing fees associated with the Mortgage Note, which will be amortized over the respective term. The obligations under the Mortgage Note are secured by mortgages on three properties that the Company owns in Ohio, as well as assignment of any leases and rent amounts related to these properties that the Company may enter into. The Mortgage Note contains customary representations and events of default. The Borrowing Subsidiaries have agreed to comply with certain customary covenants, including, but not limited to, restrictions on their ability to: incur additional indebtedness; create certain liens; make material changes to the nature of the business conducted; and sell, lease, transfer, or otherwise dispose of all or a substantial part of their assets. The Mortgage Note also requires the Borrowing Subsidiaries to maintain a debt service coverage ratio (as defined in the Mortgage Note) of not less than 1.30 to 1.00 measured annually based on the entire calendar year and commencing on December 31, 2026.</w:t>
      </w:r>
    </w:p>
    <w:p>
      <w:pPr>
        <w:pStyle w:val="TextBody"/>
        <w:bidi w:val="0"/>
        <w:spacing w:lineRule="auto" w:line="288" w:before="0" w:after="180"/>
        <w:ind w:left="0" w:right="0" w:hanging="360"/>
        <w:jc w:val="both"/>
        <w:rPr/>
      </w:pPr>
      <w:r>
        <w:rPr>
          <w:rFonts w:ascii="Times New Roman;serif" w:hAnsi="Times New Roman;serif"/>
          <w:b w:val="false"/>
          <w:color w:val="000000"/>
          <w:sz w:val="12"/>
        </w:rPr>
        <w:t>(7)</w:t>
      </w:r>
      <w:r>
        <w:rPr>
          <w:rFonts w:ascii="Times New Roman;serif" w:hAnsi="Times New Roman;serif"/>
          <w:b w:val="false"/>
          <w:color w:val="000000"/>
          <w:sz w:val="18"/>
        </w:rPr>
        <w:t>In December 2022, the Company received $19,364 pursuant to a financing agreement with a third-party lender (the “Financing Agreement”). The Company assigned to the lender its interests in an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A total of $1,964 of the ERTC Claim was outstanding as of December 31, 2024, which corresponding receivable is included in “Other current assets” on the unaudited Condensed Consolidated Balance Sheet and the balance outstanding under the Financing Agreement was included in “Current portion of debt, net.” A total of $335 was received and repaid during the second quarter of 2025 and $1,629 was received and repaid during the third quarter of 2025. The Company’s obligations related to repayment are largely satisfied as of September 30,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Debt Maturities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following cash payments are payable under sellers’ notes and term notes: </w:t>
      </w:r>
    </w:p>
    <w:tbl>
      <w:tblPr>
        <w:tblW w:w="10205" w:type="dxa"/>
        <w:jc w:val="left"/>
        <w:tblInd w:w="0" w:type="dxa"/>
        <w:tblLayout w:type="fixed"/>
        <w:tblCellMar>
          <w:top w:w="28" w:type="dxa"/>
          <w:left w:w="28" w:type="dxa"/>
          <w:bottom w:w="28" w:type="dxa"/>
          <w:right w:w="28" w:type="dxa"/>
        </w:tblCellMar>
      </w:tblPr>
      <w:tblGrid>
        <w:gridCol w:w="467"/>
        <w:gridCol w:w="343"/>
        <w:gridCol w:w="344"/>
        <w:gridCol w:w="109"/>
        <w:gridCol w:w="109"/>
        <w:gridCol w:w="109"/>
        <w:gridCol w:w="275"/>
        <w:gridCol w:w="805"/>
        <w:gridCol w:w="144"/>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82"/>
        <w:gridCol w:w="544"/>
        <w:gridCol w:w="109"/>
        <w:gridCol w:w="109"/>
        <w:gridCol w:w="109"/>
        <w:gridCol w:w="109"/>
        <w:gridCol w:w="296"/>
        <w:gridCol w:w="570"/>
        <w:gridCol w:w="155"/>
        <w:gridCol w:w="109"/>
        <w:gridCol w:w="109"/>
        <w:gridCol w:w="109"/>
        <w:gridCol w:w="211"/>
        <w:gridCol w:w="721"/>
        <w:gridCol w:w="157"/>
      </w:tblGrid>
      <w:tr>
        <w:trPr/>
        <w:tc>
          <w:tcPr>
            <w:tcW w:w="46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Sellers’ notes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Mortgage Note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note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Certain cash payments include an interest accretion component. The timing of certain payments may vary based on regulatory approval of the underlying transactions.</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Principal payments due under the Mortgage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during the three and nine months ended September 30, 2025 and 2024 consisted of the following:</w:t>
      </w:r>
    </w:p>
    <w:tbl>
      <w:tblPr>
        <w:tblW w:w="8040" w:type="dxa"/>
        <w:jc w:val="left"/>
        <w:tblInd w:w="0" w:type="dxa"/>
        <w:tblLayout w:type="fixed"/>
        <w:tblCellMar>
          <w:top w:w="28" w:type="dxa"/>
          <w:left w:w="28" w:type="dxa"/>
          <w:bottom w:w="28" w:type="dxa"/>
          <w:right w:w="28" w:type="dxa"/>
        </w:tblCellMar>
      </w:tblPr>
      <w:tblGrid>
        <w:gridCol w:w="1033"/>
        <w:gridCol w:w="906"/>
        <w:gridCol w:w="91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on financing liabilities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Loss on extinguishment of debt</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Interest on financing liability related to failed sale leaseback transactions. See Note 10, “Leases,” for additional details.</w:t>
      </w:r>
    </w:p>
    <w:p>
      <w:pPr>
        <w:pStyle w:val="TextBody"/>
        <w:bidi w:val="0"/>
        <w:spacing w:lineRule="auto" w:line="288" w:before="0" w:after="18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The nine months ended September 30, 2025 includes a loss on extinguishment associated with the May 2025 Prepayment, primarily related to the write-off of unamortized deferred financing costs. Additionally, the three and nine months ended September 30, 2024 include $3,527 of prepayment fees associated with the partial extinguishment treatment of the prepayment then-made under the 2021 Credit Facility and the write-off of $1,948 of unamortized deferred financing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authorized 750,000 shares of Class A common stock with a par value of $0.001 per share, 100 shares of Class B common stock with a par value of $0.001 per share, and 10,000 shares of preferred stock with a par value of $0.001 per share. 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shares of Class A common stock and Class B common stock outstanding as of September 30, 2025 and December 31, 2024:</w:t>
      </w:r>
    </w:p>
    <w:tbl>
      <w:tblPr>
        <w:tblW w:w="6610" w:type="dxa"/>
        <w:jc w:val="left"/>
        <w:tblInd w:w="0" w:type="dxa"/>
        <w:tblLayout w:type="fixed"/>
        <w:tblCellMar>
          <w:top w:w="28" w:type="dxa"/>
          <w:left w:w="28" w:type="dxa"/>
          <w:bottom w:w="28" w:type="dxa"/>
          <w:right w:w="28" w:type="dxa"/>
        </w:tblCellMar>
      </w:tblPr>
      <w:tblGrid>
        <w:gridCol w:w="994"/>
        <w:gridCol w:w="874"/>
        <w:gridCol w:w="877"/>
        <w:gridCol w:w="589"/>
        <w:gridCol w:w="589"/>
        <w:gridCol w:w="591"/>
        <w:gridCol w:w="109"/>
        <w:gridCol w:w="109"/>
        <w:gridCol w:w="109"/>
        <w:gridCol w:w="517"/>
        <w:gridCol w:w="517"/>
        <w:gridCol w:w="73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A common stock</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202,547 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204,961 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the Company’s board of directors (the “Board”) authorized a share buyback program (the “Buyback Program”) which permits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total number of shares purchased, timing of purchases, and share prices are dependent upon market conditions and business considerations, any applicable securities law requirements, CSE rules, and any determination of best use of cash available at the time. Any such shares purchased will be retired. The Buyback Program will expire on January 1, 2026, and may be suspended, terminated, or modified at any time for any reason and the Company is under no obligation to purchase any such shares for the duration of the Buyback Program. As of September 30, 2025, a total of 3,682 shares had been repurchased under the Buyback Program for an aggregate cost, inclusive of fees, of $1,580. As of September 30, 2025, approximately $670 worth of share purchases remains available under the Buyback Program.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warrant activity during the nine months ended September 30, 2025:</w:t>
      </w:r>
    </w:p>
    <w:tbl>
      <w:tblPr>
        <w:tblW w:w="10205" w:type="dxa"/>
        <w:jc w:val="left"/>
        <w:tblInd w:w="0" w:type="dxa"/>
        <w:tblLayout w:type="fixed"/>
        <w:tblCellMar>
          <w:top w:w="28" w:type="dxa"/>
          <w:left w:w="28" w:type="dxa"/>
          <w:bottom w:w="28" w:type="dxa"/>
          <w:right w:w="28" w:type="dxa"/>
        </w:tblCellMar>
      </w:tblPr>
      <w:tblGrid>
        <w:gridCol w:w="627"/>
        <w:gridCol w:w="551"/>
        <w:gridCol w:w="553"/>
        <w:gridCol w:w="109"/>
        <w:gridCol w:w="109"/>
        <w:gridCol w:w="109"/>
        <w:gridCol w:w="406"/>
        <w:gridCol w:w="406"/>
        <w:gridCol w:w="407"/>
        <w:gridCol w:w="109"/>
        <w:gridCol w:w="109"/>
        <w:gridCol w:w="109"/>
        <w:gridCol w:w="529"/>
        <w:gridCol w:w="1282"/>
        <w:gridCol w:w="275"/>
        <w:gridCol w:w="109"/>
        <w:gridCol w:w="109"/>
        <w:gridCol w:w="109"/>
        <w:gridCol w:w="806"/>
        <w:gridCol w:w="806"/>
        <w:gridCol w:w="808"/>
        <w:gridCol w:w="109"/>
        <w:gridCol w:w="109"/>
        <w:gridCol w:w="109"/>
        <w:gridCol w:w="392"/>
        <w:gridCol w:w="755"/>
        <w:gridCol w:w="294"/>
      </w:tblGrid>
      <w:tr>
        <w:trPr/>
        <w:tc>
          <w:tcPr>
            <w:tcW w:w="6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Warrants</w:t>
            </w:r>
          </w:p>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Remaining Exercise Period</w:t>
            </w:r>
          </w:p>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Intrinsic Value</w:t>
            </w:r>
          </w:p>
          <w:p>
            <w:pPr>
              <w:pStyle w:val="TableContents"/>
              <w:bidi w:val="0"/>
              <w:spacing w:lineRule="auto" w:line="240" w:before="0" w:after="0"/>
              <w:jc w:val="center"/>
              <w:rPr/>
            </w:pPr>
            <w:r>
              <w:rPr>
                <w:rFonts w:ascii="Times New Roman;serif" w:hAnsi="Times New Roman;serif"/>
                <w:b/>
                <w:i/>
                <w:color w:val="000000"/>
                <w:sz w:val="18"/>
              </w:rPr>
              <w:t>(in thousands)</w:t>
            </w:r>
            <w:r>
              <w:rPr>
                <w:rFonts w:ascii="Times New Roman;serif" w:hAnsi="Times New Roman;serif"/>
                <w:b/>
                <w:color w:val="000000"/>
                <w:sz w:val="12"/>
              </w:rPr>
              <w:t>(1)</w:t>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Outstanding, September 30, 2025</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4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Based on the amount by which the closing market price of our Class A common stock exceeds the exercise price on each date indicated.</w:t>
      </w:r>
    </w:p>
    <w:p>
      <w:pPr>
        <w:pStyle w:val="TextBody"/>
        <w:bidi w:val="0"/>
        <w:spacing w:lineRule="auto" w:line="288" w:before="0" w:after="18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The warrants outstanding as of September 30, 2025 are equity-classified instruments, are subject to customary anti-dilution adjustments, and are stand-alone instruments. The fair value per warrant was calculated at issuance using a Black-Scholes model and ranged from $0.06 to $0.84. Significant assumptions used in the calculations included volatility ranging from 70.0% to 87.5% and risk-free rates ranging from 0.3% to 3.0%. No warrants were exercised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13. EQUITY-BASED COMPENSATION EXPENSE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Equity Incentive Plans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As of September 30, 2025, a total of 9,994 Awards had been granted under the 2020 Plan and, as of September 30, 2025, there are no remaining unvested Awards and no remaining unrecognized compensation cost associated with these Awards. The Awards issued generally vested over two or three years and the estimated fair value of the Awards at issuance was recognized as compensation expense over the related vesting period.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September 30, 2025, there were 3,704 shares of Class A common stock available for grant for future equity-based compensation awards under the Amended 2021 Plan. Activity related to awards issued under the Amended 2021 Plan is further described below. As of September 30, 2025, no SAR Awards and no RSAs had been granted under the Amended 2021 Plan.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during the nine months ended September 30, 2025:</w:t>
      </w:r>
    </w:p>
    <w:tbl>
      <w:tblPr>
        <w:tblW w:w="10205" w:type="dxa"/>
        <w:jc w:val="left"/>
        <w:tblInd w:w="0" w:type="dxa"/>
        <w:tblLayout w:type="fixed"/>
        <w:tblCellMar>
          <w:top w:w="28" w:type="dxa"/>
          <w:left w:w="28" w:type="dxa"/>
          <w:bottom w:w="28" w:type="dxa"/>
          <w:right w:w="28" w:type="dxa"/>
        </w:tblCellMar>
      </w:tblPr>
      <w:tblGrid>
        <w:gridCol w:w="865"/>
        <w:gridCol w:w="483"/>
        <w:gridCol w:w="487"/>
        <w:gridCol w:w="109"/>
        <w:gridCol w:w="109"/>
        <w:gridCol w:w="109"/>
        <w:gridCol w:w="356"/>
        <w:gridCol w:w="356"/>
        <w:gridCol w:w="357"/>
        <w:gridCol w:w="109"/>
        <w:gridCol w:w="109"/>
        <w:gridCol w:w="109"/>
        <w:gridCol w:w="526"/>
        <w:gridCol w:w="1276"/>
        <w:gridCol w:w="274"/>
        <w:gridCol w:w="109"/>
        <w:gridCol w:w="109"/>
        <w:gridCol w:w="109"/>
        <w:gridCol w:w="811"/>
        <w:gridCol w:w="811"/>
        <w:gridCol w:w="813"/>
        <w:gridCol w:w="109"/>
        <w:gridCol w:w="109"/>
        <w:gridCol w:w="109"/>
        <w:gridCol w:w="316"/>
        <w:gridCol w:w="926"/>
        <w:gridCol w:w="240"/>
      </w:tblGrid>
      <w:tr>
        <w:trPr/>
        <w:tc>
          <w:tcPr>
            <w:tcW w:w="86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Outstanding</w:t>
            </w:r>
          </w:p>
        </w:tc>
      </w:tr>
      <w:tr>
        <w:trPr/>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Weighted-Average Remaining Contractual Life </w:t>
            </w:r>
          </w:p>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Aggregate Intrinsic Value</w:t>
            </w:r>
            <w:r>
              <w:rPr>
                <w:rFonts w:ascii="Times New Roman;serif" w:hAnsi="Times New Roman;serif"/>
                <w:b/>
                <w:color w:val="000000"/>
                <w:sz w:val="13"/>
              </w:rPr>
              <w:t>(1)</w:t>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Exercisable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Based on the amount by which the closing market price of our Class A common stock exceeds the exercise price on each date indicated.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unrecognized stock-based compensation expense related to unvested options was $1,055 as of September 30, 2025, which is expected to be recognized over a weighted-average remaining period of 1.5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RSU activity during the nine months ended September 30, 2025:</w:t>
      </w:r>
    </w:p>
    <w:tbl>
      <w:tblPr>
        <w:tblW w:w="9145" w:type="dxa"/>
        <w:jc w:val="left"/>
        <w:tblInd w:w="0" w:type="dxa"/>
        <w:tblLayout w:type="fixed"/>
        <w:tblCellMar>
          <w:top w:w="28" w:type="dxa"/>
          <w:left w:w="28" w:type="dxa"/>
          <w:bottom w:w="28" w:type="dxa"/>
          <w:right w:w="28" w:type="dxa"/>
        </w:tblCellMar>
      </w:tblPr>
      <w:tblGrid>
        <w:gridCol w:w="955"/>
        <w:gridCol w:w="839"/>
        <w:gridCol w:w="845"/>
        <w:gridCol w:w="539"/>
        <w:gridCol w:w="539"/>
        <w:gridCol w:w="541"/>
        <w:gridCol w:w="109"/>
        <w:gridCol w:w="109"/>
        <w:gridCol w:w="109"/>
        <w:gridCol w:w="1097"/>
        <w:gridCol w:w="2659"/>
        <w:gridCol w:w="804"/>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p>
            <w:pPr>
              <w:pStyle w:val="TableContents"/>
              <w:bidi w:val="0"/>
              <w:spacing w:lineRule="auto" w:line="240" w:before="0" w:after="0"/>
              <w:jc w:val="center"/>
              <w:rPr>
                <w:rFonts w:ascii="Times New Roman;serif" w:hAnsi="Times New Roman;serif"/>
                <w:b/>
                <w:i/>
                <w:color w:val="000000"/>
                <w:sz w:val="18"/>
              </w:rPr>
            </w:pPr>
            <w:r>
              <w:rPr>
                <w:rFonts w:ascii="Times New Roman;serif" w:hAnsi="Times New Roman;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0" w:type="dxa"/>
            <w:gridSpan w:val="3"/>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December 31, 2024</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Unvested, September 30, 2025</w:t>
            </w:r>
          </w:p>
        </w:tc>
        <w:tc>
          <w:tcPr>
            <w:tcW w:w="10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3,733 </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8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Includes 439 vested shares that were withheld to cover tax obligations and were subsequently cancelled.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total unrecognized compensation cost related to the RSUs was $2,464, which is expected to be recognized over a weighted-average remaining period of 2.1 years.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Performance Based Awards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2024, the Company’s Board approved an award of 3,000 RSUs pursuant to an employment agreement that were not granted as of September 30, 2025 or as of the date of filing of this Quarterly Report on Form 10-Q. These awards, once granted, will be subject to certain vesting conditions, including the achievement of certain stock price targets and continued service to the Company.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Compensation Expense by Type of Award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equity-based compensation expense by type of award for the periods presented:</w:t>
      </w:r>
    </w:p>
    <w:tbl>
      <w:tblPr>
        <w:tblW w:w="8265" w:type="dxa"/>
        <w:jc w:val="left"/>
        <w:tblInd w:w="0" w:type="dxa"/>
        <w:tblLayout w:type="fixed"/>
        <w:tblCellMar>
          <w:top w:w="28" w:type="dxa"/>
          <w:left w:w="28" w:type="dxa"/>
          <w:bottom w:w="28" w:type="dxa"/>
          <w:right w:w="28" w:type="dxa"/>
        </w:tblCellMar>
      </w:tblPr>
      <w:tblGrid>
        <w:gridCol w:w="1308"/>
        <w:gridCol w:w="1151"/>
        <w:gridCol w:w="1156"/>
        <w:gridCol w:w="211"/>
        <w:gridCol w:w="466"/>
        <w:gridCol w:w="109"/>
        <w:gridCol w:w="109"/>
        <w:gridCol w:w="109"/>
        <w:gridCol w:w="109"/>
        <w:gridCol w:w="211"/>
        <w:gridCol w:w="541"/>
        <w:gridCol w:w="109"/>
        <w:gridCol w:w="109"/>
        <w:gridCol w:w="109"/>
        <w:gridCol w:w="109"/>
        <w:gridCol w:w="211"/>
        <w:gridCol w:w="616"/>
        <w:gridCol w:w="109"/>
        <w:gridCol w:w="109"/>
        <w:gridCol w:w="109"/>
        <w:gridCol w:w="109"/>
        <w:gridCol w:w="211"/>
        <w:gridCol w:w="72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and 2024, the Company recognized $477 of expense and a net benefit of $359 from the forfeiture of certain unvested awards, respectively, within “General and administrative expenses” and $329 and $230, respectively, within “Cost of goods sold.” During the nine months ended September 30, 2025 and 2024, the Company recognized $979 and $9,289, respectively, of expense within “General and administrative expenses” and $1,631 and $6,777, respectively, within “Cost of goods sold.” Of the total equity-based compensation expense, $329 and $164 was capitalized to inventory during the three months ended September 30, 2025 and 2024, respectively, and $966 and $6,516 was capitalized during the nine months ended September 30, 2025 and 2024, respectively. As of September 30, 2025 and December 31, 2024, $1,437 and $2,102, respectively, remained capitalized in inventory.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14. INCOME TAXES</w:t>
      </w:r>
    </w:p>
    <w:tbl>
      <w:tblPr>
        <w:tblW w:w="8912" w:type="dxa"/>
        <w:jc w:val="left"/>
        <w:tblInd w:w="0" w:type="dxa"/>
        <w:tblLayout w:type="fixed"/>
        <w:tblCellMar>
          <w:top w:w="28" w:type="dxa"/>
          <w:left w:w="28" w:type="dxa"/>
          <w:bottom w:w="28" w:type="dxa"/>
          <w:right w:w="28" w:type="dxa"/>
        </w:tblCellMar>
      </w:tblPr>
      <w:tblGrid>
        <w:gridCol w:w="983"/>
        <w:gridCol w:w="863"/>
        <w:gridCol w:w="868"/>
        <w:gridCol w:w="211"/>
        <w:gridCol w:w="796"/>
        <w:gridCol w:w="271"/>
        <w:gridCol w:w="109"/>
        <w:gridCol w:w="109"/>
        <w:gridCol w:w="109"/>
        <w:gridCol w:w="211"/>
        <w:gridCol w:w="796"/>
        <w:gridCol w:w="271"/>
        <w:gridCol w:w="109"/>
        <w:gridCol w:w="109"/>
        <w:gridCol w:w="109"/>
        <w:gridCol w:w="211"/>
        <w:gridCol w:w="826"/>
        <w:gridCol w:w="271"/>
        <w:gridCol w:w="109"/>
        <w:gridCol w:w="109"/>
        <w:gridCol w:w="109"/>
        <w:gridCol w:w="211"/>
        <w:gridCol w:w="826"/>
        <w:gridCol w:w="316"/>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 on gross profit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internal revenue service has taken the position that cannabis companies are subject to the limitations of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recorded an uncertain tax liability for uncertain tax positions primarily related to the treatment of certain transactions and deductions under IRC Section 280E based on legal interpretations that challenge the Company’s tax liability under IRC Section 280E. These uncertain tax positions are included within “Other non-current liabilities” on the unaudited Condensed Consolidated Balance Sheets. The following table shows a reconciliation of the beginning and ending amount of unrecognized tax benefits:</w:t>
      </w:r>
    </w:p>
    <w:tbl>
      <w:tblPr>
        <w:tblW w:w="8246" w:type="dxa"/>
        <w:jc w:val="left"/>
        <w:tblInd w:w="0" w:type="dxa"/>
        <w:tblLayout w:type="fixed"/>
        <w:tblCellMar>
          <w:top w:w="28" w:type="dxa"/>
          <w:left w:w="28" w:type="dxa"/>
          <w:bottom w:w="28" w:type="dxa"/>
          <w:right w:w="28" w:type="dxa"/>
        </w:tblCellMar>
      </w:tblPr>
      <w:tblGrid>
        <w:gridCol w:w="1596"/>
        <w:gridCol w:w="1402"/>
        <w:gridCol w:w="1411"/>
        <w:gridCol w:w="109"/>
        <w:gridCol w:w="109"/>
        <w:gridCol w:w="109"/>
        <w:gridCol w:w="622"/>
        <w:gridCol w:w="2435"/>
        <w:gridCol w:w="453"/>
      </w:tblGrid>
      <w:tr>
        <w:trPr/>
        <w:tc>
          <w:tcPr>
            <w:tcW w:w="159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149,407 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24,215 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186,818 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total of $34,010 of interest and penalties is accrued for the uncertain tax positions as of September 30, 2025, which includes $13,842 related to the current year and $20,168 for prior years, and a total of $20,168 of interest and penalties was accrued as of December 31, 2024, which included $14,744 for the year then ended and $5,424 for prior years. The Company has been selected for examination of its amended tax returns filed with these unrecognized tax benefits but does not currently anticipate its unrecognized tax benefits to be resolved in the next twelve months and anticipates that the total amount of unrecognized tax benefits may change within the next twelve months for additional uncertain tax positions taken on a go-forward basis. If favorably resolved, the unrecognized tax benefits would decrease the Company’s effective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U.S. government enacted a reconciliation bill, commonly referred to as the One Big Beautiful Bill Act (the “Act”), with certain provisions of the Act effective in 2025 and other provisions becoming effective in 2026 and beyond. Among the various provisions contained in the Act, modifications to Section 163(j) interest expense limitations are expected to favorably impact the Company’s state tax calculations. We reflected a discrete tax event in the three months ended September 30, 2025 which resulted in a $601 reduction to our uncertain tax position. Additionally, our deferred tax liabilities increased by $784 resulting from state decoupling considerations. The net impact to the effective tax rate was not material. The Company continues to evaluate the impact of the various provisions of the Act, but does not expect the other provisions will have a material impact on its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have significant future annual commitments, other than related to leases and debt, which are disclosed in Notes 10 and 11, respectively, and certain payments related to acquisitions, as disclosed in Note 4. The Company has commercial relationships with license holders across the markets in which it operates with mutually beneficial purchasing and supply arrangements entered into in the ordinary course of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2025, the Company entered into a definitive agreement pursuant to which the Company proposes to exchange its Ohio cultivation license and facility and related assets (the “Ohio Cultivation Assets”) for an entity that anticipates obtaining an adult-use license in New Jersey and $1,000 of cash consideration. Pursuant to this definitive agreement, the Company also proposes to acquire an entity in Ohio that owns and operates a dispensary in Ohio in exchange for a conditional dispensary license that the Company expects to receive, plus an additional $1,000 of cash consideration. This transaction is subject to certain closing conditions, including regulatory approvals. The Ohio Cultivation Assets were being contemplated for sale in this specific transaction with this specific buyer and the Company determined the Ohio Cultivation Assets do not meet the criteria to be classified as held-for-sale as of September 30, 2025. The total of the Ohio Cultivation Assets was approximately $8,700 as of September 30, 2025, including $3,900 of intangible assets, net, $3,000 of goodwill, $1,300 of inventory, and $300 of property and equipment, net.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Through the acquisition of Story of PA CR, LLC (“Story of PA”) in April 2022, the Company is party to a research collaboration agreement with the Geisinger Commonwealth School of Medicine (“Geisinger”), a Pennsylvania Department of Health-Certified Medical Marijuana Academic Clinical Research Center, pursuant to which the Company will help fund clinical research to benefit the patients of Pennsylvania. A total of up to $10,000 of additional funding may be provided pursuant to the research collaboration agreement and is expected to be funded over the course of the ten years following the transaction date based on a percentage of annual revenues associated with the underlying operations. A payment of $819 was remitted during the nine months ended September 30, 2025, which is included within “Payment of contingent consideration” on the unaudited Condensed Consolidated Statements of Cash Flows and was included within “Accounts payable and accrued liabilities” on the unaudited Condensed Consolidated Balance Sheet at December 31, 2024. As of September 30, 2025, $2,277 is included within “Accounts payable and accrued liabilities” on the unaudited Condensed Consolidated Balance Sheet and $6,904 and $9,200 is included within “Other non-current liabilities” as of September 30, 2025 and December 31, 2024, respectively.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Legal and Other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September 30, 2025 in all material respects, cannabis regulations continue to evolve and are subject to differing interpretations, and accordingly, the Company may be subject to regulatory fines, penalties, or restrictions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State laws that permit and regulate the production, distribution, and use of cannabis for adult-use or medical purposes are in direct conflict with the Controlled Substances Act (21 U.S.C. § 811) (the “CSA”), which makes cannabis use and possession federally illegal. Although certain states and territories of the United States authorize medical and/or adult-use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September 30, 2025 there were no pending or threatened lawsuits that could reasonably be expected to have a material effect on our consolidated results of operations, other than as disclosed below.</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MedMen NY Litigation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reported, since 2021 the Company has been engaged in a matter regarding a definitive investment agreement (the “Investment Agreement”) with subsidiaries of MedMen Enterprises Inc. (“MedMen”) regarding an investment in MedMen NY, Inc. (“MMNY”).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continues to seek damages from MedMen, including, but not limited to, the return of the $4,000 deposit previously paid, approximately $2,400 of advances pursuant to a working capital loan agreement, and other capital expenditure advances paid to MMNY by the Company. In February 2024, the counsel-of-record for MedMen withdrew as counsel and, as of the date of filing of this Form 10-Q, MedMen has not appointed new counsel in this matter. On August 6, 2025, the Company filed a motion for a default judgment against MedMen seeking $10,300 for the prior deposit and working capital advances. MedMen did not oppose. On September 5, 2025, the Court entered default judgment in favor of Ascend, awarding $10,300 to Ascend for its deposit and working capital advance. The Company is considering its options to collect on this unsecured judgment.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 On May 21, 2024, the Los Angeles Superior Court issued an order confirming the appointment of a receiver for MM CAN USA, Inc. The receiver has submitted monthly reports to the Los Angeles Superior Court estimating that the liabilities of MedMen’s subsidiaries likely significantly exceed the estimated liquidated value of MedMen's subsidiaries and their respective assets, and such reports indicate that efforts to dissolve, liquidate, or abandon such assets are ongoing.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2022, following the Company’s decision to no longer consummate the contemplated transactions, the Company established an estimated reserve of $3,700 related to the amounts that it has been actively pursuing collecting. During the first quarter of 2024, the Company increased this estimated reserve by $2,703, which is included within “General and administrative expenses” on the unaudited Condensed Consolidated Statements of Operations and within “Other” on the unaudited Condensed Consolidated Statements of Cash Flows for that period. The reserve was further increased by $2,744 during the second quarter of 2024 to reflect all remaining outstanding balances, including amounts due under a working capital advance agreement. Of the total reserve as of each of September 30, 2025 and December 31, 2024, $2,422 is included within “Notes receivable” on the unaudited Condensed Consolidated Balance Sheets, $6,695 is included within “Other current assets,” and the remainder is included within “Other noncurrent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(in thousands, except per unit or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16. RELATED PARTY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significant related party transactions during the nine months ended September 30, 2025, other than as disclosed in Note 6, “Notes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17. SUPPLEMENTAL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regarding our other current assets:</w:t>
      </w:r>
    </w:p>
    <w:tbl>
      <w:tblPr>
        <w:tblW w:w="6460" w:type="dxa"/>
        <w:jc w:val="left"/>
        <w:tblInd w:w="0" w:type="dxa"/>
        <w:tblLayout w:type="fixed"/>
        <w:tblCellMar>
          <w:top w:w="28" w:type="dxa"/>
          <w:left w:w="28" w:type="dxa"/>
          <w:bottom w:w="28" w:type="dxa"/>
          <w:right w:w="28" w:type="dxa"/>
        </w:tblCellMar>
      </w:tblPr>
      <w:tblGrid>
        <w:gridCol w:w="939"/>
        <w:gridCol w:w="826"/>
        <w:gridCol w:w="829"/>
        <w:gridCol w:w="358"/>
        <w:gridCol w:w="1226"/>
        <w:gridCol w:w="185"/>
        <w:gridCol w:w="109"/>
        <w:gridCol w:w="109"/>
        <w:gridCol w:w="109"/>
        <w:gridCol w:w="344"/>
        <w:gridCol w:w="1175"/>
        <w:gridCol w:w="251"/>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receivables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deposits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regarding our accounts payable and accrued liabilities:</w:t>
      </w:r>
    </w:p>
    <w:tbl>
      <w:tblPr>
        <w:tblW w:w="7015" w:type="dxa"/>
        <w:jc w:val="left"/>
        <w:tblInd w:w="0" w:type="dxa"/>
        <w:tblLayout w:type="fixed"/>
        <w:tblCellMar>
          <w:top w:w="28" w:type="dxa"/>
          <w:left w:w="28" w:type="dxa"/>
          <w:bottom w:w="28" w:type="dxa"/>
          <w:right w:w="28" w:type="dxa"/>
        </w:tblCellMar>
      </w:tblPr>
      <w:tblGrid>
        <w:gridCol w:w="1141"/>
        <w:gridCol w:w="1002"/>
        <w:gridCol w:w="1006"/>
        <w:gridCol w:w="358"/>
        <w:gridCol w:w="1226"/>
        <w:gridCol w:w="185"/>
        <w:gridCol w:w="109"/>
        <w:gridCol w:w="109"/>
        <w:gridCol w:w="109"/>
        <w:gridCol w:w="344"/>
        <w:gridCol w:w="1175"/>
        <w:gridCol w:w="251"/>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 purchases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information regarding our general and administrative expenses:</w:t>
      </w:r>
    </w:p>
    <w:tbl>
      <w:tblPr>
        <w:tblW w:w="7994" w:type="dxa"/>
        <w:jc w:val="left"/>
        <w:tblInd w:w="0" w:type="dxa"/>
        <w:tblLayout w:type="fixed"/>
        <w:tblCellMar>
          <w:top w:w="28" w:type="dxa"/>
          <w:left w:w="28" w:type="dxa"/>
          <w:bottom w:w="28" w:type="dxa"/>
          <w:right w:w="28" w:type="dxa"/>
        </w:tblCellMar>
      </w:tblPr>
      <w:tblGrid>
        <w:gridCol w:w="938"/>
        <w:gridCol w:w="824"/>
        <w:gridCol w:w="832"/>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and utilities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Marketing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management discussion and analysis, which we refer to as the “MD&amp;A,” of the financial condition and results of operations of Ascend Wellness Holdings, Inc. (the “Company,” “AWH,” or “Ascend”) is for the three and nine months ended September 30, 2025 and 2024.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2024 (the “Annual Report”), which has been filed with the United States Securities and Exchange Commission (“SEC”) and with the relevant Canadian securities regulatory authorities under its profile on the System for Electronic Document Analysis and Retrieval Plus (“SEDAR+”). The Financial Statements and Annual Report were prepared in accordance with accounting principles generally accepted in the United States of America, which we refer to as “U.S. GAAP.”</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following discussion should be read in conjunction with, and is qualified in its entirety by, the Financial Statements. The discussion in this section contains both historical information and forward-looking statements, within the meaning of the Private Securities Litigation Reform Act of 1995, and forward-looking information, within the meaning of applicable Canadian securities laws, (collectively, “forward-looking statements”) that involve risks and uncertainties. Generally, forward-looking statements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statements will prove to be accurate, and actual results and future events could differ materially from those anticipated in such forward-looking statements. Forward-looking statements are subject to known and unknown risks, uncertainties, and other factors that may cause the actual results, level of activity, performance, or achievements of the Company to be materially different from those or implied by such forward-looking statements. Readers are further cautioned not to place undue reliance on forward-looking statements as there can be no assurance that the plans, intentions, or expectations upon which they are placed will occur. Forward-looking statements in this MD&amp;A are expressly qualified by this cautionary statement. See “</w:t>
      </w:r>
      <w:r>
        <w:rPr>
          <w:rFonts w:ascii="Times New Roman;serif" w:hAnsi="Times New Roman;serif"/>
          <w:b w:val="false"/>
          <w:i/>
          <w:color w:val="000000"/>
          <w:sz w:val="20"/>
        </w:rPr>
        <w:t>Forward-Looking Statements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Company’s shares of Class A common stock are listed on the Canadian Securities Exchange (the “CSE”) under the ticker symbol “AAWH.U” and are quoted on the OTCQX</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Best Market under the symbol “AAWH.” We are an emerging growth company under federal securities laws and as such we are able to elect to follow scaled disclosure requirements for this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Established in 2018 and headquartered in Morristown, New Jersey,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formation, we have expanded our operational footprint, primarily through acquisitions, and, as of September 30, 2025, had direct or indirect operations or financial interests in seven United States geographic markets: Illinois, Maryland, Massachusetts, Michigan, New Jersey, Ohio, and Pennsylvania. While we have been successful in opening facilities and dispensaries, we expect continued growth to be driven by opening new operational facilities and dispensaries under our current licenses and through partnership opportunities, expansion of our current facilities, and increased consumer demand. As of September 30, 2025, we employed approximately 2,400 people.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consumer products portfolio is generated primarily from plant material that we grow and process ourselves. As of September 30, 2025, we produce our consumer packaged goods in seven manufacturing facilities with 258,000 square feet of total canopy. During the three and nine months ended September 30, 2025, we sold approximately 53,000 and 165,000 pounds of wholesale product, on a gross basis, respectively, compared to 48,000 and 141,000 pounds during the three and nine months ended September 30, 2024, respectively. Our product portfolio consists of a range of cannabis product categories including flower, pre-rolls, concentrates, vapes, edibles, and other cannabis-related products. As of September 30, 2025, we have 46 open and operating retail locations, which includes 8 partner locations. We have fully-financed expansion plans to achieve a target of 60 total retail locations, including partner locations, in the medium-term. Our new store opening plans are flexible and will ultimately depend on market conditions, local licensing, construction, and other regulatory permissions. We are also pursuing opportunities to partner with social equity license holders to expand our presence in various states. All of our expansion plans are subject to capital allocations decisions, the evolving regulatory environment, and the general economic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Business Developments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continues to focus on expansion opportunities across the markets in which it operates and remains committed to cost-savings initiatives, improvements in working capital management, and providing an enhanced customer experience. Some of the Company’s recent business highlights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entering into agreements to provide support to three additional partner stores, including two that were added to our footprint during the quarter;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strengthened our capital position with the closing of a new financing arrangement with a principal amount of $9,345, as further described in “</w:t>
      </w:r>
      <w:r>
        <w:rPr>
          <w:rFonts w:ascii="Times New Roman;serif" w:hAnsi="Times New Roman;serif"/>
          <w:b w:val="false"/>
          <w:i/>
          <w:color w:val="000000"/>
          <w:sz w:val="20"/>
        </w:rPr>
        <w:t>Liquidity and Capital Resources</w:t>
      </w:r>
      <w:r>
        <w:rPr>
          <w:rFonts w:ascii="Times New Roman;serif" w:hAnsi="Times New Roman;serif"/>
          <w:b w:val="false"/>
          <w:color w:val="000000"/>
          <w:sz w:val="20"/>
        </w:rPr>
        <w: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ending the period with $87,272 of cash and cash equivalents, reflecting improvements in working capital management and the generation of positive net cash from operating activities, offset by investments in capital assets and acquisition-related activity.</w:t>
      </w:r>
    </w:p>
    <w:p>
      <w:pPr>
        <w:pStyle w:val="TextBody"/>
        <w:bidi w:val="0"/>
        <w:spacing w:before="0" w:after="180"/>
        <w:jc w:val="both"/>
        <w:rPr/>
      </w:pPr>
      <w:r>
        <w:rPr/>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and Pending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4, “Acquisitions,” in the Financial Statements for additional information regarding the Company’s acquisition-related activity, including previous transactions that remain pending.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various contractual agreements, the Company is providing funding and operational support to third-parties that meet the criteria to be consolidated as variable interest entities (each, a “VIE”), which entered into various transactions during the nine months ended September 30, 2025, as further described below. Refer to Note 8, “Variable Interest Entities,” in the Financial Statements for additional information regarding the Company’s VIEs, including the Midwest Partnership One, and certain other transactions. </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Midwest Partnership One Activity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Midwest Partnership One, a consolidated VIE, as further described in Note 8, “Variable Interest Entities,” in the Financial Statements, entered into entered into a definitive agreement to acquire the membership interests of an entity that anticipates receiving two adult-use licenses, which agreement is subject to regulatory approval. In conjunction with this definitive agreement, the parties entered into certain management services agreements (“MSAs”) pursuant to which Midwest Partnership One will provide management and advisory services for a set fee. These MSAs were subject to regulatory review and approval, which was received in February 2025. Based on the provisions of the agreements, Midwest Partnership One obtained operational and financial influence over the underlying entity and therefore recognized the transaction as an asset acquisition as of the February 2025 regulatory approval date of these MSAs. Total cash consideration for this transaction may be up to $4,000, subject to certain closing adjustments, which was allocated to the licenses acquired as of the effective date. Of the total consideration, $1,000 was paid at signing in December 2024 and is included within “Other non-current assets” on the unaudited Condensed Consolidated Balance Sheet in the Financial Statements as of December 31, 2024. A total of up to $1,500 is expected to be paid upon opening of the associated dispensary locations and a total of up to $1,500 is expected be paid upon final closing of the associated transaction. The total of the remaining payments is included as a sellers’ note; refer to Note 11, “Debt” in the Financial Statements. Additionally, the Company recorded an acquisition-related deferred tax liability of $1,755, which was allocated to the license as additional cost basis as of the effective date. Refer to Note 4, “Acquisitions,” and to Note 8, “Variable Interest Entities,” for additional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Midwest Partnership One entered into a definitive agreement to acquire a conditional adult-use license, which agreement is subject to regulatory approval. Total cash consideration for this transaction is $1,900, to be paid at final closing and subject to certain closing adjustments. In October 2025, the parties amended the definitive agreement to, among other provisions, reduce the total cash consideration by $150 and advance $450 at that time. In conjunction with this definitive agreement, the parties entered into certain MSAs under which Midwest Partnership One will provide certain management and advisory services for a set fee. The parties also entered into a working capital loan and security agreement, under which Midwest Partnership One may loan up to $3,650 for the build-out of the associated dispensary. Based on the provisions of the MSAs and working capital loan, Midwest Partnership One obtained operational and financial influence over the underlying assets as of the February 2025 regulatory approval date of the MSAs. As such, this transaction was accounted for as an asset acquisition as of that date and the total consideration was allocated as the cost of the license acquired. The payment due at closing is included as a sellers’ note; refer to Note 11, “Debt” in the Financial Statements. The associated dispensary opened in May 2025 and the Company anticipates that closing of the transaction may occur in the first half of 2026. Refer to Note 4, “Acquisitions,” and to Note 8, “Variable Interest Entities,”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 March 2025, Midwest Partnership One acquired an entity that owns and operates an adult-use dispensary (“Midwest Partnership Dispensary Three”) and also entered into a related MSA pursuant to which Midwest Partnership One will provide certain management and advisory services for a set fee while the underlying transaction is pending regulatory approval. Based on the provisions of this MSA, Midwest Partnership One obtained operational and financial influence over Midwest Partnership Dispensary Three and therefore recognized the transaction as a business combination as of the March 2025 regulatory approval date of this MSA. Total cash consideration for this transaction is $1,667, of which $833 was payable upon the regulatory approval of the MSA and the remainder is due at final closing, subject to certain closing adjustments. This agreement also provides for an earn-out payment, to be paid in cash, based on 3.2-times EBITDA (as defined) that is achieved during a specified twelve-month period, less the purchase price, and had an initial fair value estimate of $1,600. Refer to Note 4, “Acquisitions,” and to Note 8, “Variable Interest Entities,” for additional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 May 2025, Midwest Partnership One acquired an entity that owns and operates an adult-use dispensary (“Midwest Partnership Dispensary Four”) and also entered into a related MSA under which Midwest Partnership One will provide certain management and advisory services for a set fee while the underlying transaction is pending regulatory approval. Based on the provisions of this MSA, Midwest Partnership One obtained operational and financial influence over Midwest Partnership Dispensary Four and therefore recognized the transaction as a business combination as of the May 2025 regulatory approval date of this MSA. Total cash consideration for this transaction is $3,333, of which $1,667 was paid upon the regulatory approval of the MSA and the remainder will be due at final closing, subject to certain closing adjustments. This agreement also provides for an earn-out payment, to be paid in cash, based on 3.2-times EBITDA (as defined) that is achieved during a specified twelve-month period, less the purchase price, and had an initial fair value estimate of $1,900. Refer to Note 4, “Acquisitions,” and to Note 8, “Variable Interest Entities,” for additional information. </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Northeast Partnership Two Loan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and a third party (“Northeast Partnership Two”) entered into a loan agreement pursuant to which the Company may provide to Northeast Partnership Two up to $2,500 of financing (the “Northeast Partnership Two Loan Agreement”). The Company has a direct equity ownership interest of 35% of the equity interests in the borrower and the Northeast Partnership Two Loan Agreement provides the Company with conversion options to obtain up to 100% at any time through the maturity date, subject to certain provisions and as may be permitted by applicable regulations. The Northeast Partnership Two Loan Agreement also contains certain provisions and restrictive covenants that provide the Company with operational and financial influence over Northeast Partnership Two and provides the Company with financial distributions based on the associated results of operations. The Company determined that the terms and provisions of the Northeast Partnership Two Loan Agreement create a variable interest in Northeast Partnership Two and met the criteria for consolidation as of such date.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Company and Northeast Partnership Two entered into a definitive agreement to acquire an entity that received licensing approvals for the operation of an adult-use dispensary for a total of $650 of cash consideration. This agreement is subject to regulatory approval, which is expected to be received within twelve to eighteen months following the signing date. The consideration was allocated to the cost of the license, of which $250 was paid at signing. The remaining $400 is due at the earlier of: (i) the first sale of cannabis at the associated dispensary, or (ii) the one year anniversary of the agreement date, and is included as a sellers’ note; refer to Note 11, “Debt.” Additionally, the Company recorded an acquisition-related deferred tax liability of $285, which was allocated to the license as additional cost basis as of the effective date. The Company will also assume the lease associated with the anticipated dispensary location.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and the net loss attributable to the non-controlling interest was not significant during the three and nine months ended September 30, 2025. Since the entity is consolidated as a VIE, the intercompany activity related to the Northeast Partnership Two Loan Agreement is eliminated in consolidation. Refer to Note 8, “Variable Interest Entities,” in the Financial Statements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Northeast Partnership Four Loan Agreement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In March 2025, the Company and a third party (“Northeast Partnership Four”) entered into a loan agreement pursuant to which the Company may provide to Northeast Partnership Four up to $2,500 of financing (the “Northeast Partnership Four Loan Agreement”). The Company has a direct equity ownership interest of 35% of the equity interests in the borrower and the Northeast Partnership Four Loan Agreement and associated agreements provide the Company with conversion options to obtain up to 100% at any time through the maturity date, subject to certain provisions and as may be permitted by applicable regulations. The Northeast Partnership Four Loan Agreement also contains provisions and restrictive covenants that provide the Company with operational and financial influence over Northeast Partnership Four and the underlying operating agreement provides the Company with financial distributions based on the associated results of operations. The Company determined that the terms and provisions of the Northeast Partnership Four Loan Agreement and associated agreements create a variable interest in Northeast Partnership Four and met the criteria for consolidation as of such date. The non-controlling interest was determined to have a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 xml:space="preserve">fair value. Since the entity is consolidated as a VIE, the intercompany activity related to the Northeast Partnership Four Loan Agreement is eliminated in consolidation.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Northeast Partnership Four entered into a definitive agreement to acquire an entity that received licensing approvals for the operation of an adult-use dispensary, subject to regulatory approval which is expected to be received within twelve to eighteen months following the signing date, for a total of $1,500 of cash consideration. Of the total consideration, $250 was paid as a deposit during the fourth quarter of 2024 and was included within “Other current assets” on the unaudited Condensed Consolidated Balance Sheet in the Financial Statements as of December 31, 2024, $250 was paid at signing, and the remaining $1,000 will be paid at final closing and is included as a sellers’ note; refer to Note 11, “Debt” in the Financial Statements. The Company will also assume the lease associated with the dispensary location. Of the total consideration, $1,383 was allocated to the cost of the license as of the effective date and $117 was allocated to the security deposit for the associated lease, which had a lease liability and ROU asset of $872 and is classified as a finance lease; refer to Note 10, “Leases,” for additional information regarding the Company’s lease arrangements. Additionally, the Company recorded an acquisition-related deferred tax liability of $607, which was allocated to the license as additional cost basis as of the effective date. The net loss attributable to the non-controlling interest was not significant during the three and nine months ended September 30, 2025. Refer to Note 8, “Variable Interest Entities,” in the Financial Statements for additional information. </w:t>
      </w:r>
    </w:p>
    <w:p>
      <w:pPr>
        <w:pStyle w:val="TextBody"/>
        <w:bidi w:val="0"/>
        <w:spacing w:lineRule="auto" w:line="288" w:before="0" w:after="180"/>
        <w:ind w:left="0" w:right="0" w:firstLine="7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Northeast Partnership Three Activity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a consolidated VIE of the Company (“Northeast Partnership Three”) entered into a definitive agreement to acquire an adult-use dispensary (“Northeast Partnership Dispensary One”). The parties also entered into a consulting agreement under which Northeast Partnership Three will provide management and advisory services for a set fee, which became effective in June 2025 and will remain in place until regulatory approval of the definitive agreement is received and the underlying transaction thereby closes. Based on the provisions of this consulting agreement, Northeast Partnership Three obtained operational and financial influence over Northeast Partnership Dispensary One and therefore recognized the transaction as a business combination as of the June 2025 effective date of this consulting agreement. Total cash consideration for Northeast Partnership Dispensary One is $3,250, of which $813 was paid at signing and the remainder will be due at final closing, subject to certain closing adjustments. Refer to Note 4, “Acquisitions,” and to Note 8, “Variable Interest Entities,”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Northeast Partnership Three acquired an entity that owns and operates two adult-use dispensaries (“Northeast Partnership Dispensaries Two and Three”), which transaction was completed pursuant to a definitive agreement that was signed in February 2025 and was subject to certain closing conditions, including regulatory approval of the underlying transaction, which was received prior to closing. The purchase price consists of $7,850 of cash consideration, adjusted for certain working capital amounts with an initial estimate of $1,040 that will be finalized per the underlying transaction terms. Total consideration also includes $1,598 of other pre-acquisition amounts that are anticipated to be reflected in the final working capital adjustment. Total cash consideration included the settlement of $4,779 related to an outstanding note with a principal balance of $4,100 and associated interest. Of the remaining total cash consideration, $250 was paid at signing and $1,541 was paid at closing. The remainder is due on the one-year anniversary of closing and is subject to final working capital adjustments. This transaction also provides for an earn-out payment, payable in cash, in an amount equal to the lesser of $2,000 or three times the Annual EBITDA (as defined) during the one-year period following closing. The initial fair value estimate of $1,800 for this earn-out was determined utilizing an income approach based on a probability-weighted estimate of the future payment discounted using the Company’s estimated incremental borrowing rate and is classified within Level 3 of the fair value hierarchy. Refer to Note 4, “Acquisitions,” and to Note 8, “Variable Interest Entities,” for additional information. </w:t>
      </w:r>
    </w:p>
    <w:p>
      <w:pPr>
        <w:pStyle w:val="TextBody"/>
        <w:bidi w:val="0"/>
        <w:spacing w:lineRule="auto" w:line="288" w:before="0" w:after="180"/>
        <w:ind w:left="0" w:right="0" w:firstLine="7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Activity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acquired a conditional adult-use license for $2,000 of cash consideration. this transaction was accounted for as an asset acquisition as of the effective date and the total cash consideration was allocated as the cost of the license acquired. Of the total cash consideration, $1,000 was paid to the seller as of the effective date and the remainder was remitted to escrow, to be released to the seller upon regulatory approval of the underlying license transfer, which remains pending. The Company also assumed the lease for the associated dispensary location which had a lease liability and ROU asset of $1,710 as of the effective date and is classified as a finance lease; refer to Note 10, “Leases,” for additional information regarding the Company’s leases. Additionally, the Company recorded an acquisition-related deferred tax liability of $878, which was allocated to the license as additional cost basis as of the effective date. Direct transaction costs were not material. Refer to Note 4, “Acquisitions,” for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Company exercised an option to acquire Ohio Patient Access, LLC (“OPA”), pursuant to a definitive agreement that was entered into in 2022, as amended (the “Ohio Agreement”). As further described in Note 4, “Acquisitions,” the related transaction closed in October 2025 and the Company remitted $7,000 of the remaining consideration at that time. The remaining $2,000 of total transaction consideration will be remitted upon the final transfer of each of two additional licenses that OPA was subsequently awarded, which transfer is expected to occur after the related dispensary locations open.</w:t>
      </w:r>
    </w:p>
    <w:p>
      <w:pPr>
        <w:pStyle w:val="TextBody"/>
        <w:bidi w:val="0"/>
        <w:spacing w:lineRule="auto" w:line="288" w:before="0" w:after="180"/>
        <w:ind w:left="0" w:right="0" w:firstLine="720"/>
        <w:jc w:val="left"/>
        <w:rPr>
          <w:rFonts w:ascii="Times New Roman;serif" w:hAnsi="Times New Roman;serif"/>
          <w:b/>
          <w:i/>
          <w:color w:val="000000"/>
          <w:sz w:val="20"/>
        </w:rPr>
      </w:pPr>
      <w:r>
        <w:rPr>
          <w:rFonts w:ascii="Times New Roman;serif" w:hAnsi="Times New Roman;serif"/>
          <w:b/>
          <w:i/>
          <w:color w:val="000000"/>
          <w:sz w:val="20"/>
        </w:rPr>
        <w:t>Operational and Regulation Overview</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Key Financial Highlights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Revenue decreased by $16,913, or 12%, during the three months ended September 30, 2025, as compared to the three months ended September 30, 2024, primarily driven by declines across our legacy business resulting from increased competition and pricing pressure in most of our markets, slightly offset by incremental revenue from acquisitions and partnerships.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Operating loss was $1,325 during the three months ended September 30, 2025, as compared to $2,417 during the three months ended September 30, 2024, primarily resulting from improved margins and reduced general and administrative expenses, which were largely attributable to certain strategic initiatives implemented during the second half of 2024.</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 decrease in cash and cash equivalents of $982 during the nine months ended September 30, 2025, primarily resulting from investments in capital assets and payments associated with acquisitions, offset by funding provided by improvements in working capital management and net proceeds from the issuance of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Three Months Ended September 30, 2025 Compared with the Three Months Ended September 30, 2024</w:t>
      </w:r>
    </w:p>
    <w:tbl>
      <w:tblPr>
        <w:tblW w:w="8730"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826"/>
        <w:gridCol w:w="256"/>
        <w:gridCol w:w="109"/>
        <w:gridCol w:w="109"/>
        <w:gridCol w:w="109"/>
        <w:gridCol w:w="270"/>
        <w:gridCol w:w="1019"/>
        <w:gridCol w:w="139"/>
        <w:gridCol w:w="189"/>
        <w:gridCol w:w="189"/>
        <w:gridCol w:w="267"/>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35.0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30.9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(25,825)</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(28,256)</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Times New Roman;serif" w:hAnsi="Times New Roman;serif"/>
          <w:b w:val="false"/>
          <w:color w:val="000000"/>
          <w:sz w:val="18"/>
        </w:rPr>
      </w:pPr>
      <w:r>
        <w:rPr>
          <w:rFonts w:ascii="Times New Roman;serif" w:hAnsi="Times New Roman;serif"/>
          <w:b w:val="false"/>
          <w:color w:val="000000"/>
          <w:sz w:val="18"/>
        </w:rPr>
        <w:t>*Not meaningful</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decreased by $16,913 during the three months ended September 30, 2025, as compared to the three months ended September 30, 2024. Revenue across legacy dispensary locations declined by $17,144, primarily driven by softness in Illinois and New Jersey that was partially offset by a benefit from adult-use sales in Ohio which began during the third quarter of 2024. Additionally, the decrease was partially offset by a contribution of $6,113 of incremental revenue from partner stores and by $1,216 of incremental revenue from new store openings that occurred in the second half of 2024 that were associated with previously acquired licenses. Net revenue from our wholesale operations declined by $7,098 resulting from increased competition and price compression across certain markets, particularly in Illinois and New Jersey, as well as from an increased focus on selling products through Company-owned and partner stores. During the three months ended September 30, 2025, we sold approximately 53,000 pounds of wholesale product, on a gross basis, compared to 48,000 pounds during the three months ended September 30, 2024. </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decreased by $16,785 during the three months ended September 30, 2025, as compared to the three months ended September 30, 2024. Cost of goods sold represents direct and indirect expenses attributable to the production of wholesale products as well as direct expenses incurred in purchasing products from other wholesalers. Gross profit for the three months ended September 30, 2025 was $43,601, representing a gross margin of 35.0%, compared to gross profit of $43,729 and gross margin of 30.9% for the three months ended September 30, 2024. Gross margin for the current quarter benefited from improved realization and better production output across certain cultivation facilities, and a benefit from a higher volume of Company-produced products sold through our retail stores. These benefits were partially offset by an impact from increased competition and pricing pressure across most of our markets. The current period includes a $3,580 benefit from a rebalancing of overhead expenses at certain cultivation locations from cost of goods sold to general and administrative expenses based on overhead allocations relative to production output at those locations, but was impacted by $5,218 of higher write-downs of certain inventory items related to net realizable value adjustments, expired products, and obsolete packaging.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$1,220, or 3%, during the three months ended September 30, 2025, as compared to the three months ended September 30, 2024. The decrease was primarily driven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$2,671 of lower professional services fees resulting from certain cost-savings initiatives;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absence of a $2,083 reserve recognized in the prior year related to a long-term receivable.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decreases were partially offset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$2,681 increase in overhead expenses, including $3,580 of expenses associated with a rebalancing of certain overhead expenses from cost of goods sold, as well as costs associated with the expansion of operations, partially offset by ongoing cost control initiatives;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$1,079 of higher depreciation and amortization, which was attributable to a larger average balance of fixed assets in service and the incremental amortization of licenses from prior year acquisitions;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$836 increase in equity-based compensation expense primarily resulting from the absence of a benefit recognized in the prior year due to a reversal of expense associated with the forfeiture of certain awards.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720"/>
        <w:jc w:val="both"/>
        <w:rPr/>
      </w:pPr>
      <w:r>
        <w:rPr>
          <w:rFonts w:ascii="Times New Roman;serif" w:hAnsi="Times New Roman;serif"/>
          <w:b w:val="false"/>
          <w:color w:val="000000"/>
          <w:sz w:val="20"/>
        </w:rPr>
        <w:t>Interest expense decreased by $3,919, or 24%, during the three months ended September 30, 2025, as compared to the three months ended September 30, 2024. The prior year period includes a $5,475 loss on extinguishment associated with the prepayment of certain previously outstanding loans, whereas the current year was impacted by higher cash interest expense associated with new term notes (refer to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for further information) and higher interest on finance leases (refer to Note 10, “Leases,” in the Financial Statements for additional information). During the three months ended September 30, 2025, the Company had a weighted-average outstanding debt balance of $339,821 with a weighted-average interest rate of 11.8%, excluding finance leases, compared to a weighted-average debt balance of $325,477 during the three months ended September 30, 2024 with a weighted-average interest rate of 10.9%.</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internal revenue service has taken the position that cannabis companies are subject to the limitations of Internal Revenue Code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 As of September 30, 2025, the Company recorded an uncertain tax liability totaling $186,818 for uncertain tax positions related to the treatment of certain transactions and deductions under IRC Section 280E based on legal interpretations that challenge the Company’s tax liability under IRC Section 280E. The Company has been selected for examination of its amended tax returns filed with these unrecognized tax benefits but does not currently anticipate its unrecognized tax benefits to be resolved in the next twelve months and anticipates that the total amount of unrecognized tax benefits may change within the next twelve months for additional uncertain tax positions taken on a go-forward basis. If favorably resolved, the unrecognized tax benefits would decrease the Company’s effective tax rate.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statutory federal tax rate was 21% during both periods. The Company has operations in seven U.S. geographic markets: Illinois, Maryland, Massachusetts, Michigan, New Jersey, Ohio, and Pennsylvania, which have state tax rates ranging from 6% to 11.5%. Certain states, including Illinois, Maryland, Massachusetts, Michigan, New Jersey, and Pennsylvania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was $12,279, or 28.2%, of gross profit, during the three months ended September 30, 2025, as compared to $9,767, or 22.3%, of gross profit, during the three months ended September 30, 2024. The effective tax rate on gross profit for the three months ended September 30, 2025 was impacted by higher penalties and interest due on tax payments and uncertain tax positions, partially offset by a benefit from an incremental impact attributable to the tax treatment of certain acquired intangible assets. Refer to Note 14, “Income Taxes,” in the Financial Statements for additional information regarding the Company’s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Nine Months Ended September 30, 2025 Compared with the Nine Months Ended September 30, 2024</w:t>
      </w:r>
    </w:p>
    <w:tbl>
      <w:tblPr>
        <w:tblW w:w="8730"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11"/>
        <w:gridCol w:w="826"/>
        <w:gridCol w:w="256"/>
        <w:gridCol w:w="109"/>
        <w:gridCol w:w="109"/>
        <w:gridCol w:w="109"/>
        <w:gridCol w:w="211"/>
        <w:gridCol w:w="826"/>
        <w:gridCol w:w="256"/>
        <w:gridCol w:w="109"/>
        <w:gridCol w:w="109"/>
        <w:gridCol w:w="109"/>
        <w:gridCol w:w="270"/>
        <w:gridCol w:w="1019"/>
        <w:gridCol w:w="139"/>
        <w:gridCol w:w="189"/>
        <w:gridCol w:w="189"/>
        <w:gridCol w:w="267"/>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32.8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32.3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(34,508)</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(69,490)</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(68,203)</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decreased by $45,558, or 11%, during the nine months ended September 30, 2025, as compared to the nine months ended September 30, 2024. Revenue across legacy dispensary locations declined by $49,486 across our legacy locations, primarily driven by softness in Illinois, New Jersey, and Massachusetts that was partially offset by a benefit from adult-use sales in Ohio which began during the third quarter of 2024. Additionally, the decrease was partially offset by a contribution of $14,442 of incremental revenue from partner stores and by $7,757 of incremental revenue from new store openings that occurred in the second half of 2024 that were associated with previously acquired licenses. Net revenue from our wholesale operations declined by $18,271 resulting from increased competition and price compression across certain markets, particularly in Illinois and New Jersey, as well as from an increased focus on selling products through Company-owned and partner stores. During the nine months ended September 30, 2025, we sold approximately 165,000 pounds of wholesale product, on a gross basis, compared to 141,000 pounds during the nine months ended September 30, 2024.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 and Gross Profit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decreased by $32,773, or 11%, during the nine months ended September 30, 2025, as compared to the nine months ended September 30, 2024. Cost of goods sold represents direct and indirect expenses attributable to the production of wholesale products as well as direct expenses incurred in purchasing products from other wholesalers. Gross profit for the nine months ended September 30, 2025 was $124,554, representing a gross margin of 32.8%, compared to gross profit of $137,339 and gross margin of 32.3% for the nine months ended September 30, 2024. Gross margin in the current year benefitted from improved realization at certain cultivation facilities and better production output across our cultivation facilities, primarily Illinois and Massachusetts, and benefit from a higher volume of Company-produced products sold through our retail stores, partially offset by increased competition and pricing pressure across most of our markets, particularly in New Jersey and Illinois. The current period includes a $6,693 benefit from a rebalancing of overhead expenses at certain cultivation locations from cost of goods sold to general and administrative expenses based on overhead allocations relative to production output at those locations, but was impacted by $11,660 of higher write-downs of certain inventory items related to net realizable value adjustments, expired products, and obsolete packaging.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$14,308, or 10%, during the nine months ended September 30, 2025, as compared to the nine months ended September 30, 2024. The decrease was primarily driven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$6,487 decrease in total compensation expense, including $8,310 lower equity-based compensation expense that was largely due to the acceleration of certain awards, offset by the forfeiture of other awards, in the prior year, partially offset by slightly higher headcount in the current year due to the expansion of operations;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absence of a $5,447 estimated reserve recognized in the prior year related to certain amounts associated with a previous transaction;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$2,984 of lower professional service fees resulting from certain cost-savings initiatives;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absence of a $2,083 reserve and $984 discount on a long-term receivable recognized in the prior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decreases were partially offset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$4,881 increase in overhead expenses, including $6,693 of expenses associated with a rebalancing of certain overhead expenses from cost of goods sold, as well as costs associated with the expansion of operations, partially offset by ongoing cost control initiatives;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$1,734 increase in depreciation and amortization expense, which was attributable to a larger average balance of fixed assets in service.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720"/>
        <w:jc w:val="both"/>
        <w:rPr/>
      </w:pPr>
      <w:r>
        <w:rPr>
          <w:rFonts w:ascii="Times New Roman;serif" w:hAnsi="Times New Roman;serif"/>
          <w:b w:val="false"/>
          <w:color w:val="000000"/>
          <w:sz w:val="20"/>
        </w:rPr>
        <w:t>Interest expense increased by $2,256, or 7%, during the nine months ended September 30, 2025, as compared to the nine months ended September 30, 2024, primarily driven by higher cash interest expense associated with new term notes (refer to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for further information) and higher interest on finance leases (refer to Note 10, “Leases,” in the Financial Statements for additional information). The prior year period includes a $5,475 loss on extinguishment associated with the prepayment of certain previously outstanding loans. During the nine months ended September 30, 2025, the Company had a weighted-average outstanding debt balance of $343,356 with a weighted-average interest rate of 11.4%, excluding finance leases, compared to a weighted-average debt balance of $319,014 during the nine months ended September 30, 2024 with a weighted-average interest rate of 10.9%.</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was $35,141, or 28.2%, of gross profit, during the nine months ended September 30, 2025, as compared to $34,383, or 25.0%, of gross profit, during the nine months ended September 30, 2024. The effective tax rate on gross profit for the nine months ended September 30, 2025 was impacted by higher penalties and interest due on tax payments and uncertain tax positions, partially offset by a benefit from an incremental impact attributable to the tax treatment of certain acquired intangible assets. Refer to Note 14, “Income Taxes,” in the Financial Statements for additional information regarding the Company’s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Gross Profit” as gross profit excluding non-cash inventory costs, which include depreciation and amortization included in cost of goods sold, equity-based compensation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income or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Adjusted Gross Profit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546"/>
        <w:gridCol w:w="1342"/>
        <w:gridCol w:w="1328"/>
        <w:gridCol w:w="211"/>
        <w:gridCol w:w="721"/>
        <w:gridCol w:w="256"/>
        <w:gridCol w:w="109"/>
        <w:gridCol w:w="109"/>
        <w:gridCol w:w="109"/>
        <w:gridCol w:w="211"/>
        <w:gridCol w:w="721"/>
        <w:gridCol w:w="256"/>
        <w:gridCol w:w="109"/>
        <w:gridCol w:w="109"/>
        <w:gridCol w:w="109"/>
        <w:gridCol w:w="211"/>
        <w:gridCol w:w="826"/>
        <w:gridCol w:w="256"/>
        <w:gridCol w:w="109"/>
        <w:gridCol w:w="109"/>
        <w:gridCol w:w="109"/>
        <w:gridCol w:w="211"/>
        <w:gridCol w:w="826"/>
        <w:gridCol w:w="302"/>
      </w:tblGrid>
      <w:tr>
        <w:trPr/>
        <w:tc>
          <w:tcPr>
            <w:tcW w:w="154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137,339 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included in 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22,631 </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included in cost of goods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inventory adjustments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168,970 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46.4</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37.8</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43.5</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39.7</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lineRule="auto" w:line="288" w:before="0" w:after="18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Consists of write-offs of expired products, obsolete packaging, and net realizable value adjustments related to certain inventory items.</w:t>
      </w:r>
    </w:p>
    <w:p>
      <w:pPr>
        <w:pStyle w:val="TextBody"/>
        <w:bidi w:val="0"/>
        <w:spacing w:before="0" w:after="180"/>
        <w:ind w:left="0" w:right="0" w:firstLine="720"/>
        <w:jc w:val="both"/>
        <w:rPr/>
      </w:pPr>
      <w:r>
        <w:rPr/>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Adjusted EBITDA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566"/>
        <w:gridCol w:w="1295"/>
        <w:gridCol w:w="1299"/>
        <w:gridCol w:w="211"/>
        <w:gridCol w:w="787"/>
        <w:gridCol w:w="256"/>
        <w:gridCol w:w="109"/>
        <w:gridCol w:w="109"/>
        <w:gridCol w:w="109"/>
        <w:gridCol w:w="211"/>
        <w:gridCol w:w="787"/>
        <w:gridCol w:w="256"/>
        <w:gridCol w:w="109"/>
        <w:gridCol w:w="109"/>
        <w:gridCol w:w="109"/>
        <w:gridCol w:w="211"/>
        <w:gridCol w:w="787"/>
        <w:gridCol w:w="256"/>
        <w:gridCol w:w="109"/>
        <w:gridCol w:w="109"/>
        <w:gridCol w:w="109"/>
        <w:gridCol w:w="211"/>
        <w:gridCol w:w="787"/>
        <w:gridCol w:w="304"/>
      </w:tblGrid>
      <w:tr>
        <w:trPr/>
        <w:tc>
          <w:tcPr>
            <w:tcW w:w="156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 in thousands)</w:t>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(68,203)</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inventory adjustments</w:t>
            </w:r>
            <w:r>
              <w:rPr>
                <w:rFonts w:ascii="Times New Roman;serif" w:hAnsi="Times New Roman;serif"/>
                <w:b w:val="false"/>
                <w:color w:val="000000"/>
                <w:sz w:val="13"/>
              </w:rPr>
              <w:t>(1)</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Start-up costs</w:t>
            </w:r>
            <w:r>
              <w:rPr>
                <w:rFonts w:ascii="Times New Roman;serif" w:hAnsi="Times New Roman;serif"/>
                <w:b w:val="false"/>
                <w:color w:val="000000"/>
                <w:sz w:val="13"/>
              </w:rPr>
              <w:t>(2)</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Transaction-related and other non-recurring expenses</w:t>
            </w:r>
            <w:r>
              <w:rPr>
                <w:rFonts w:ascii="Times New Roman;serif" w:hAnsi="Times New Roman;serif"/>
                <w:b w:val="false"/>
                <w:color w:val="000000"/>
                <w:sz w:val="13"/>
              </w:rPr>
              <w:t>(3)</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sale of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4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85,938 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w:t>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24.9</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17.7</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22.8</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20.2</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Consists of write-offs of expired products, obsolete packaging, and net realizable value adjustments related to certain inventory items.</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other expenses resulting from delays in regulatory approvals, and other related one-time or non-recurring expenses, as applicable. The three and nine months ended September 30, 2025 also include $3,580</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8"/>
        </w:rPr>
        <w:t xml:space="preserve">$6,693, respectively, of unallocated overhead expenses at certain cultivation facilities resulting from a rebalancing of overhead expenses from cost of goods sold to general and administrative expenses based on overhead allocations relative to production output at those locations. </w:t>
      </w:r>
    </w:p>
    <w:p>
      <w:pPr>
        <w:pStyle w:val="TextBody"/>
        <w:bidi w:val="0"/>
        <w:spacing w:lineRule="auto" w:line="288" w:before="0" w:after="18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 xml:space="preserve">Other non-recurring expenses including legal and professional fees associated with litigation matters, potential acquisitions, other regulatory matters, and other reserves or one-time expenses. The nine months ended September 30, 2025 includes approximately $700 of expenses associated with our May 2025 term loans and approximately $400 of expenses associated with our January 2025 term loans. The three and nine months ended September 30, 2025 include approximately $170 and $270, respectively, of fair value adjustments associated with acquisition earn-outs. The three and nine months ended September 30, 2024 each include a reserve of $2,083 associated with a noncurrent receivable and approximately $3,600 of expenses associated with a debt refinancing. The nine months ended September 30, 2024 also includes: a reserve of $5,774 related to certain amounts associated with a previous transaction, $984 recognized as a discount on a noncurrent receivable, and a $630 fair value adjustment related to an acquisition earn-out.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for capital expenditures and improvements in existing facilities, product development and marketing, as well as customer, supplier, and investor and industry relations.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Financing History and Future Capital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used private financing as a source of liquidity for short-term working capital needs and general corporate purposes. In May 2021, we completed an initial public offering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initially borrowed a $210,000 term loan and we subsequently borrowed an additional $65,000 during the second quarter of 2022. During the second quarter of 2023, we raised an aggregate of $7,000 in gross proceeds through a non-brokered private placement offering of an aggregate of 9,859 shares of the Company’s Class A common stock to a single investor. In July 2024 we issued term notes in aggregate principal of $235,000, which proceeds were used, together with cash on hand, to prepay a portion of our other term loans then-outstanding, as discussed further below. In January 2025, we issued an additional $15,000, in aggregate principal of term loans, for general corporate purposes, including to fund growth initiatives, and in May 2025 we issued an additional $50,000, in aggregate principal of term loans, which proceeds were utilized, along with cash on hand, to prepay the remaining $60,000 then-outstanding under our previous credit facility, as discussed further below.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had total current liabilities of $96,004 and $144,541, respectively, and total current assets of $209,214 and $229,376, respectively, which includes cash and cash equivalents of $87,272 and $88,254, respectively, to meet our current obligations. As of September 30, 2025, we had working capital of $113,210, compared to $84,835 as of December 31, 2024.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Approximately 94% and 93% of our cash and cash equivalents balance as of September 30, 2025 and December 31, 2024, respectively, is on deposit with banks, credit unions, or other financial institutions. We have not experienced any material impacts related to banking restrictions applicable to cannabis businesses. Our cash and cash equivalents balance is not restricted for use by VIEs.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reflected in the Financial Statements, we had an accumulated deficit as of September 30, 2025 and December 31, 2024, as well as a net loss for the nine months ended September 30, 2025 and 2024,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the cash balance on hand and the generation of positive net cash provided by operating activities.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 </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2024 Notes Offering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16, 2024, the Company issued $235,000 in aggregate principal of senior secured notes due July 16, 2029 (the “July 2024 Term Notes”) through a private placement (the “2024 Notes Offering”) pursuant to an indenture agreement (the “July 2024 Loan Agreement”). The July 2024 Term Notes were issued at 94.75% of face value and do not require scheduled principal amortization payments.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2024 Term Notes were funded by a combination of new and existing lenders. Borrowings from these existing lenders were accounted for as a modification of existing debt. The Company incurred approximately $3,600 of other expenses associated with this transaction that were not capitalizable. The July 2024 Loan Agreement permitted the Company, subject to certain limitations, to issue additional notes thereunder, including up to an additional $60,000 in aggregate principal, with the proceeds therefrom to be used to prepay the remaining outstanding balance under, and to terminate, the 2021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 as further described below. In May 2025, the Company issued an additional $50,000, in aggregate principal, of term notes (the “May 2025 Term Notes” and, together with the January 2025 Term Notes and the July 2024 Term Notes, the “2024 Term Notes”) which proceeds were utilized, along with cash on hand, to prepay the remaining $60,000 of borrowings outstanding under the 2021 Credit Facility, as further described below. The January 2025 Term Notes and the May 2025 Term Notes were funded by existing lenders and met the criteria for modification accounting treatment. The total of the original issue discount and other capitalized direct financing fees was approximately $700 for the January 2025 Term Notes and $1,600 for the May 2025 Term Notes, which amounts will be amortized over the associated terms using the straight-line method, which approximates the interest method. The Company incurred approximately $400 of other expenses associated with the January 2025 Term Notes and $700 associated with the May 2025 Term Notes which were not capitalizable and are included within “General and administrative expenses” on the unaudited Condensed Consolidated Statements of Operations in the Financial Statements for the respective periods.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2024 Term Notes bear interest at a rate of 12.75% per annum, payable semi-annually in arrears on January 15 and July 15 of each year until the maturity date, commencing on January 15, 2025, unless earlier prepaid in accordance with the terms of the July 2024 Loan Agreement. In conjunction with the May 2025 Term Notes, those lenders prepaid $2,323 of accrued interest from the January 15 interest payment date through issuance, and, in turn, those lenders received interest for the full interest payment period that was payable on July 15, 2025. 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In January 2025, the July 2024 Loan Agreement was amended to modify certain terms and provisions, which amended terms and provisions were not due to actual or anticipated covenant violations. The July 2024 Loan Agreement requires the Company, on a consolidated basis, to maintain liquidity, consisting of cash and/or cash equivalents plus any future revolving credit availability, as of the last day of each fiscal month, as amended, in an aggregate amount of at least $20,000, with which the Company was in compliance as of September 30, 2025. The Company is required to comply with certain other financial covenants in contemplation of certain transactions or events, such as acquisitions and other financing activities, as defined within and provided for under the July 2024 Loan Agreement, as amended.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Note 11, “Debt,” in the Financial Statements for additional information regarding the Company’s debt transactions.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2021, we entered into a credit agreement with a group of lenders (the “2021 Credit Agreement”) that provided for an initial term loan of $210,000, which was borrowed in full. The 2021 Credit Agreement provided for an expansion feature that allowed us to request an increase in the term loan outstanding up to $275,000 if the existing lenders (or other lenders) agreed to provide such additional term loans. During the second quarter of 2022, we borrowed an additional $65,000 of incremental term loans through this expansion feature (the “2022 Loans” and, together with the initial term loan, the “2021 Credit Facility”) for total borrowings of $275,000. The proceeds from the initial term loan under the 2021 Credit Facility were used, in part, to prepay certain then-outstanding debt obligations and, together with the 2022 Loans, fund working capital and general corporate matters, including, but not limited to, growth investments, acquisitions, capital expenditures, and other strategic initiatives.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2021 Credit Facility had a maturity date of August 27, 2025 and did not require scheduled principal amortization payments. Prepayments were permitted at any time, subject to a customary make-whole payment or prepayment penalty, as applicable. In July 2024, the Company prepaid $215,000 of borrowings outstanding under the 2021 Credit Facility (the “July 2024 Prepayment”), primarily utilizing the proceeds from the issuance of the 2024 Term Notes, as discussed above. The Company recognized, as a component of interest expense during the third quarter of 2024, a loss on extinguishment of $5,475 related to the July 2024 Prepayment, which included $3,527 of prepayment fees and the write-off of $1,948 of unamortized deferred financing costs that were attributable to those lenders who did not provide funding under the 2024 Term Notes. A total of $1,579 of prepayment fees and $1,428 of previously unamortized deferred financing costs that were associated with existing lenders remained capitalized and were deferred over the term of the 2024 Term Notes in accordance with modification treatment. A total of $943 of unamortized deferred financing costs were associated with the portion of the 2021 Credit Facility that was not prepaid and were amortized through the remaining term of those loans.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total of $60,000 remained outstanding under the 2021 Credit Agreement following the July 2024 Prepayment and was subsequently prepaid in full in May 2025 (the “May 2025 Prepayment”) utilizing the proceeds from the May 2025 Term Notes, along with cash on hand, as further described above. In conjunction with the May 2025 Prepayment, the Company recognized a loss on extinguishment of $126, primarily consisting of unamortized deferred financing costs that were then-outstanding. Following the May 2025 Prepayment, the 2021 Credit Facility was terminated and the obligations thereunder were considered satisfied in full. Refer to Note 11, “Debt,” in the Financial Statements for additional information regarding the 2021 Credit Facility and the Company’s other debt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Mortgage Note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29, 2025, certain of the Company’s subsidiaries (the “Borrowing Subsidiaries”) entered into a loan agreement and related promissory note with an aggregate principal amount of $9,345 (the “Mortgage Note”), which was borrowed in full. The Company anticipates utilizing the net proceeds for general corporate purposes, including to fund growth initiatives. The Mortgage Note matures on September 29, 2030 and borrowings thereunder bear interest at a rate of 8.5% per annum. Monthly payments of principal and interest will commence on November 1, 2025. Principal will be repaid based on an amortization period of twenty years and any unpaid principal and accrued interest will be due and payable upon maturity. As of September 30, 2025, $163 is included within “Current portion of debt, net” and $9,182 is included within “Long-term debt, net” on the unaudited Condensed Consolidated Balance Sheet in the Financial Statements. The Company incurred $102 of direct financing fees associated with the Mortgage Note, which will be amortized over the respective term. The obligations under the Mortgage Note are secured by mortgages on three properties that the Company owns in Ohio, as well as assignment of any leases and rent amounts related to these properties that the Company may enter into. The Mortgage Note contains customary representations and events of default. The Borrowing Subsidiaries have agreed to comply with certain customary covenants, including, but not limited to, restrictions on their ability to: incur additional indebtedness; create certain liens; make material changes to the nature of the business conducted; and sell, lease, transfer, or otherwise dispose of all or a substantial part of their assets. The Mortgage Note also requires the Borrowing Subsidiaries to maintain a debt service coverage ratio (as defined in the Mortgage Note) of not less than 1.30 to 1.00 measured annually based on the entire calendar year and commencing on December 31, 2026.</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Cash Flows</w:t>
      </w:r>
    </w:p>
    <w:tbl>
      <w:tblPr>
        <w:tblW w:w="7256" w:type="dxa"/>
        <w:jc w:val="left"/>
        <w:tblInd w:w="0" w:type="dxa"/>
        <w:tblLayout w:type="fixed"/>
        <w:tblCellMar>
          <w:top w:w="28" w:type="dxa"/>
          <w:left w:w="28" w:type="dxa"/>
          <w:bottom w:w="28" w:type="dxa"/>
          <w:right w:w="28" w:type="dxa"/>
        </w:tblCellMar>
      </w:tblPr>
      <w:tblGrid>
        <w:gridCol w:w="1527"/>
        <w:gridCol w:w="1342"/>
        <w:gridCol w:w="1346"/>
        <w:gridCol w:w="261"/>
        <w:gridCol w:w="894"/>
        <w:gridCol w:w="135"/>
        <w:gridCol w:w="135"/>
        <w:gridCol w:w="135"/>
        <w:gridCol w:w="135"/>
        <w:gridCol w:w="261"/>
        <w:gridCol w:w="894"/>
        <w:gridCol w:w="191"/>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decreased by $16,389 during the nine months ended September 30, 2025, as compared to the nine months ended September 30, 2024. The current year reflects $36,431 of cash interest paid on the 2024 Term Notes, compared with $15,460 paid for interest in the prior year. The current year reflects improvements in working capital management, including a net benefit from the collection of receivables and the timing of payments to suppliers and vendors, whereas the prior year included a benefit from tax refunds totaling approximately $17,800.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by $1,031 during the nine months ended September 30, 2025, as compared to the nine months ended September 30, 2024. The current year reflects lower payments associated with acquisitions as compared to the prior year, whereas the prior year includes the collection of a note receivable.</w:t>
      </w:r>
    </w:p>
    <w:p>
      <w:pPr>
        <w:pStyle w:val="TextBody"/>
        <w:bidi w:val="0"/>
        <w:spacing w:lineRule="auto" w:line="288" w:before="0" w:after="18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$6,254 during the nine months ended September 30, 2025, as compared to $15,351 of net cash used during the nine months ended September 30, 2024. The current period reflects the receipt of net proceeds from the Mortgage Note and other term notes issued in 2025, net of related financing costs, partially offset by the May 2025 Prepayment and repurchases of common stock. The prior year primarily reflects the utilization of proceeds from the issuance of the July 2024 Term Notes to partially prepay amounts then-outstanding under the 2021 Credit Facility and related financing costs, as well as the remittance of taxes withheld under equity-based compensation plans and the payment of contingent consideration associated with a prior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Contractual Obligations and Other Commitments and Contingencies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material future contractual obligations as of September 30, 2025:</w:t>
      </w:r>
    </w:p>
    <w:tbl>
      <w:tblPr>
        <w:tblW w:w="10205" w:type="dxa"/>
        <w:jc w:val="left"/>
        <w:tblInd w:w="0" w:type="dxa"/>
        <w:tblLayout w:type="fixed"/>
        <w:tblCellMar>
          <w:top w:w="28" w:type="dxa"/>
          <w:left w:w="28" w:type="dxa"/>
          <w:bottom w:w="28" w:type="dxa"/>
          <w:right w:w="28" w:type="dxa"/>
        </w:tblCellMar>
      </w:tblPr>
      <w:tblGrid>
        <w:gridCol w:w="847"/>
        <w:gridCol w:w="739"/>
        <w:gridCol w:w="744"/>
        <w:gridCol w:w="109"/>
        <w:gridCol w:w="109"/>
        <w:gridCol w:w="109"/>
        <w:gridCol w:w="211"/>
        <w:gridCol w:w="976"/>
        <w:gridCol w:w="109"/>
        <w:gridCol w:w="109"/>
        <w:gridCol w:w="109"/>
        <w:gridCol w:w="109"/>
        <w:gridCol w:w="295"/>
        <w:gridCol w:w="1010"/>
        <w:gridCol w:w="154"/>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84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Commitments Due by Period</w:t>
            </w:r>
          </w:p>
        </w:tc>
      </w:tr>
      <w:tr>
        <w:trPr/>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2028 - 2029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Term notes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Fixed interest related to term notes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Mortgage Note</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Sellers’ notes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Finance arrangements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leases</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leases</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479,946 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Principal payments due under our term notes payable as of September 30, 2025. Refer to Note 11, “Debt,” in the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Represents fixed interest rate payments on borrowings under our term notes payable based on the principal outstanding as of September 30, 2025. Interest payments could fluctuate based on prepayments or additional amounts borrowed.</w:t>
      </w:r>
    </w:p>
    <w:p>
      <w:pPr>
        <w:pStyle w:val="TextBody"/>
        <w:bidi w:val="0"/>
        <w:spacing w:lineRule="auto" w:line="288"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Represents payments due monthly on borrowings under our Mortgage Note, which consist of principal and interest. Refer to Note 11, “Debt,” in the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Consists of amounts owed for acquisitions or other purchases. Certain cash payments include an interest accretion component, and the timing of certain payments may vary based on regulatory approval. Refer to Note 11, “Debt,” in the Financial Statements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Reflects our contractual obligations to make future payments under non-cancelable operating leases that did not meet the criteria to qualify for sale leaseback treatment. Refer to Note 10, “Leases,” in the Financial Statements for additional information.</w:t>
      </w:r>
    </w:p>
    <w:p>
      <w:pPr>
        <w:pStyle w:val="TextBody"/>
        <w:bidi w:val="0"/>
        <w:spacing w:lineRule="auto" w:line="288" w:before="0" w:after="180"/>
        <w:ind w:left="0" w:right="0" w:hanging="360"/>
        <w:jc w:val="both"/>
        <w:rPr/>
      </w:pPr>
      <w:r>
        <w:rPr>
          <w:rFonts w:ascii="Times New Roman;serif" w:hAnsi="Times New Roman;serif"/>
          <w:b w:val="false"/>
          <w:color w:val="000000"/>
          <w:sz w:val="12"/>
        </w:rPr>
        <w:t>(6)</w:t>
      </w:r>
      <w:r>
        <w:rPr>
          <w:rFonts w:ascii="Times New Roman;serif" w:hAnsi="Times New Roman;serif"/>
          <w:b w:val="false"/>
          <w:color w:val="000000"/>
          <w:sz w:val="18"/>
        </w:rPr>
        <w:t>Reflects our contractual obligations to make future payments under non-cancelable leases. Refer to Note 10, “Leases,” in the Financial Statements for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above excludes up to a total of $10,000 that we expect to fund under a research collaboration agreement associated with a prior acquisition and of which $819 was remitted during the nine months ended September 30, 2025. The remainder will be paid based on a percentage of annual revenue through April 2031, unless satisfied earlier. Refer to Note 15, “Commitments and Contingencies,” in the Financial Statements for additional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filing, we do not have any off-balance sheet arrangements, as defined by applicable regulations of the SEC, that have, or are reasonably likely to have, a material current or future effect on the results of our operations or financial condition, including, and without limitation, such considerations as liquidity and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61</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Capital Expenditures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capital expenditures, net of tenant improvement allowances, totaling approximately $30,000 to $35,000 for 2025.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 construction costs for the initial build-out of each location, general maintenance costs, and upgrades to existing locations.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we expect to build out additional dispensaries across our network, including partner dispensaries. We also anticipate completing certain expansion projects across our cultivation facilities in addition to other enhancements and general maintenance activities across our portfolio. Management expects to fund capital expenditures primarily by utilizing cash flows from operations.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our construction in progress (“CIP”) balance was $10,335 and relates to capital spending on projects that were not yet complete. This balance includes amounts related to certain expansion projects at our New Jersey, Illinois, and Massachusetts cultivation facilities, partner dispensary build-outs, and other projects across our dispensaries and cultivation facilities.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Company’s board of directors (the “Board”) authorized a share buyback program (the “Buyback Program”) which permits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total number of shares purchased, timing of purchases, and share prices are dependent upon market conditions and business considerations, any applicable securities law requirements, CSE rules, and any determination of best use of cash available at the time. Any such shares purchased will be retired. The Buyback Program will expire on January 1, 2026, and may be suspended, terminated, or modified at any time for any reason and the Company is under no obligation to purchase any such shares for the duration of the Buyback Program. As of September 30, 2025, a total of 3,682 shares had been repurchased under the Buyback Program for an aggregate cost, inclusive of fees, of $1,580. As of September 30, 2025, approximately $670 worth of share purchases remains available under the Buyback Program. Refer to Note 12, “Stockholders’ Equity,” in the Financial Statements for additional information regarding the Company’s capital structure.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Equity Incentive Plans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current stock incentive plan, as amended, (the “Amended 2021 Plan”), authorizes the issuance of options, stock appreciation rights, restricted stock awards, restricted stock units (“RSUs”), and other stock-based awards (collectively the “2021 Plan Awards”). The Amended 2021 Plan provides for a maximum number of shares of Class A common stock available for issuance to not exceed 10% of the total number of issued and outstanding shares of Class A common stock, on a non-diluted basis, as constituted on the grant date of a plan award. As of September 30, 2025, there were 3,704 shares of Class A common stock available for grant for future awards under the Amended 2021 Plan.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the Company granted a total of 225 RSUs under the Amended 2021 Plan and a total of 3,733 granted are unvested as of September 30, 2025. Total unrecognized compensation cost related to the RSUs was $2,464 as of September 30, 2025, which is expected to be recognized over a weighted-average remaining period of 2.1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62</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 total of 12,818 stock option awards are outstanding under the Amended 2021 Plan, of which 3,866 are exercisable. A total of 9,936 options were granted during the nine months ended September 30, 2025 and a total of 171 were exercised. As of September 30, 2025, the outstanding options have a remaining weighted-average contractual life of 1.9 years and total unrecognized compensation cost related to unvested options was $1,055, which is expected to be recognized over a weighted-average remaining period of 1.5 years.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and 2024, the Company recognized $477 of equity-based compensation expense and a net benefit of $359, respectively, within “General and administrative expenses” on the unaudited Condensed Consolidated Statements of Operations in the Financial Statements and recognized $329 and $230, respectively, within “Cost of goods sold.” During the nine months ended September 30, 2025 and 2024, the Company recognized $979 and $9,289, respectively, of expense within “General and administrative expenses” and $1,631 and $6,777, respectively, within “Cost of goods sold.”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2021, the Company adopted an employee stock purchase plan (the “2021 ESPP”), pursuant to which 4,000 shares of Class A common stock are reserved for issuance thereunder, subject to certain adjustments and other terms. As of September 30, 2025, no shares have been issued under the 2021 ESPP.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13, “Equity-Based Compensation Expense,” in the Financial Statements for additional information regarding the Company’s equity awards and equity-based compensation expense.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Lease-Related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10, “Leases,” in the Financial Statements for information regarding the Company’s leases and lease-related transactions.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15, “Commitments and Contingencies,” in the Financial Statements for information regarding the Company’s significant legal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Pending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2025, the Company entered into a definitive agreement pursuant to which the Company proposes to exchange its Ohio cultivation license and facility and related assets (the “Ohio Cultivation Assets”) for an entity that anticipates obtaining an adult-use license in New Jersey and $1,000 of cash consideration. Pursuant to this definitive agreement, the Company also proposes to acquire an entity in Ohio that owns and operates a dispensary in Ohio in exchange for a conditional dispensary license that the Company expects to receive, plus an additional $1,000 of cash consideration. This transaction is subject to certain closing conditions, including regulatory approvals. The Ohio Cultivation Assets were being contemplated for sale in this specific transaction with this specific buyer and the Company determined the Ohio Cultivation Assets do not meet the criteria to be classified as held-for-sale as of September 30, 2025. The total of the Ohio Cultivation Assets was approximately $8,700 as of September 30, 2025, including $3,900 of intangible assets, net, $3,000 of goodwill, $1,300 of inventory, and $300 of property and equipment, net.</w:t>
      </w:r>
    </w:p>
    <w:p>
      <w:pPr>
        <w:pStyle w:val="TextBody"/>
        <w:bidi w:val="0"/>
        <w:spacing w:before="0" w:after="18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63</w:t>
                      </w:r>
                    </w:p>
                  </w:txbxContent>
                </v:textbox>
                <w10:wrap type="none"/>
              </v:rect>
            </w:pict>
          </mc:Fallback>
        </mc:AlternateContent>
      </w:r>
    </w:p>
    <w:p>
      <w:pPr>
        <w:pStyle w:val="TextBody"/>
        <w:bidi w:val="0"/>
        <w:spacing w:before="0" w:after="180"/>
        <w:ind w:left="0" w:right="0" w:firstLine="720"/>
        <w:jc w:val="center"/>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accompanying Financial Statements are prepared in accordance with U.S.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For a description of our critical accounting policies, see Item 7., “Management’s Discussion and Analysis of Financial Condition and Results of Operations,” in our Annual Report. There have been no significant changes to our critical accounting policies and estimates discussed in our Annual Report.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Adopted Accounting Standards and Recently Issued Accounting Pronouncements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about recently issued accounting standards that have not yet been adopted, see Note 2, “Basis of Presentation and Significant Accounting Policies,” to the Financial Statements.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REGULATORY ENVIRONMENT: ISSUERS WITH UNITED STATES CANNABIS-RELATED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 and with the relevant Canadian securities regulatory authorities under its profile on SEDAR+.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in varying degrees to various market risks, including changes in interest rates, prices of raw materials, and other financial instrument related risks. There have been no material changes in our market risks from those disclosed in Item 7A., “Quantitative and Qualitative Disclosures About Market Risk,” in our Annual Report on Form 10-K for the year ended December 31, 2024.</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reflected in the Financial Statements, the Company had an accumulated deficit as of September 30, 2025 and December 31, 2024, as well as a net loss for the nine months ended September 30, 2025 and 2024,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the cash balance on hand and the generation of positive net cash provided by operating activities.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64</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a.Disclosure Controls and Procedures.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end of the period covered by this report, our Principal Executive Officer and Principal Financial Officer evaluated our disclosure controls and procedures, as such term is defined in Rule 13a-15(e) and 15d-15(e) of the Securities Exchange Act of 1934, as amended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to allow timely decisions regarding required disclosure. </w:t>
      </w:r>
    </w:p>
    <w:p>
      <w:pPr>
        <w:pStyle w:val="TextBody"/>
        <w:bidi w:val="0"/>
        <w:spacing w:lineRule="auto" w:line="288" w:before="0" w:after="180"/>
        <w:ind w:left="0" w:right="0" w:hanging="360"/>
        <w:jc w:val="left"/>
        <w:rPr>
          <w:rFonts w:ascii="Times New Roman;serif" w:hAnsi="Times New Roman;serif"/>
          <w:b/>
          <w:color w:val="000000"/>
          <w:sz w:val="20"/>
        </w:rPr>
      </w:pPr>
      <w:r>
        <w:rPr>
          <w:rFonts w:ascii="Times New Roman;serif" w:hAnsi="Times New Roman;serif"/>
          <w:b/>
          <w:color w:val="000000"/>
          <w:sz w:val="20"/>
        </w:rPr>
        <w:t>b.Changes in Internal Control Over Financial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65</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 discussion of our litigation matters occurring in the period covered by this report is found in </w:t>
      </w:r>
      <w:hyperlink w:anchor="i313d0c3bf0a44d6f85eed184c92bbbe5_82">
        <w:r>
          <w:rPr>
            <w:rStyle w:val="InternetLink"/>
            <w:rFonts w:ascii="Times New Roman;serif" w:hAnsi="Times New Roman;serif"/>
            <w:b w:val="false"/>
            <w:color w:val="0000FF"/>
            <w:sz w:val="20"/>
            <w:u w:val="single"/>
          </w:rPr>
          <w:t>Note 15</w:t>
        </w:r>
      </w:hyperlink>
      <w:r>
        <w:rPr>
          <w:rFonts w:ascii="Times New Roman;serif" w:hAnsi="Times New Roman;serif"/>
          <w:b w:val="false"/>
          <w:color w:val="000000"/>
          <w:sz w:val="20"/>
        </w:rPr>
        <w:t>, “Commitments and Contingencies,” to the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filing, there have been no material changes in our risk factors from those disclosed in our Annual Report on Form 10-K for the year ended December 31, 2024, in response to Item 1A., “Risk Factors,” of Part I of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sales of unregistered securities during the quarter ended September 30, 2025, and from the period from October 1, 2025 to the filing date of this report, which have not been previously disclosed in a prior Quarterly Report on Form 10-Q or Current Report on Form 8-K.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we purchased shares of our Class A common stock as follows:</w:t>
      </w:r>
    </w:p>
    <w:tbl>
      <w:tblPr>
        <w:tblW w:w="10205" w:type="dxa"/>
        <w:jc w:val="left"/>
        <w:tblInd w:w="0" w:type="dxa"/>
        <w:tblLayout w:type="fixed"/>
        <w:tblCellMar>
          <w:top w:w="28" w:type="dxa"/>
          <w:left w:w="28" w:type="dxa"/>
          <w:bottom w:w="28" w:type="dxa"/>
          <w:right w:w="28" w:type="dxa"/>
        </w:tblCellMar>
      </w:tblPr>
      <w:tblGrid>
        <w:gridCol w:w="595"/>
        <w:gridCol w:w="371"/>
        <w:gridCol w:w="376"/>
        <w:gridCol w:w="109"/>
        <w:gridCol w:w="109"/>
        <w:gridCol w:w="109"/>
        <w:gridCol w:w="604"/>
        <w:gridCol w:w="457"/>
        <w:gridCol w:w="458"/>
        <w:gridCol w:w="109"/>
        <w:gridCol w:w="109"/>
        <w:gridCol w:w="109"/>
        <w:gridCol w:w="324"/>
        <w:gridCol w:w="783"/>
        <w:gridCol w:w="168"/>
        <w:gridCol w:w="109"/>
        <w:gridCol w:w="109"/>
        <w:gridCol w:w="109"/>
        <w:gridCol w:w="779"/>
        <w:gridCol w:w="664"/>
        <w:gridCol w:w="666"/>
        <w:gridCol w:w="109"/>
        <w:gridCol w:w="109"/>
        <w:gridCol w:w="109"/>
        <w:gridCol w:w="568"/>
        <w:gridCol w:w="1662"/>
        <w:gridCol w:w="422"/>
      </w:tblGrid>
      <w:tr>
        <w:trPr/>
        <w:tc>
          <w:tcPr>
            <w:tcW w:w="59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Average Price Paid per Share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(including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Approximate Dollar Value of Shares That May Yet Be Purchased Under Out Share Repurchase Plans </w:t>
            </w:r>
          </w:p>
          <w:p>
            <w:pPr>
              <w:pStyle w:val="TableContents"/>
              <w:bidi w:val="0"/>
              <w:spacing w:lineRule="auto" w:line="240" w:before="0" w:after="0"/>
              <w:jc w:val="center"/>
              <w:rPr/>
            </w:pPr>
            <w:r>
              <w:rPr>
                <w:rFonts w:ascii="Times New Roman;serif" w:hAnsi="Times New Roman;serif"/>
                <w:b/>
                <w:color w:val="000000"/>
                <w:sz w:val="20"/>
              </w:rPr>
              <w:t>(in thousands)</w:t>
            </w:r>
            <w:r>
              <w:rPr>
                <w:rFonts w:ascii="Times New Roman;serif" w:hAnsi="Times New Roman;serif"/>
                <w:b/>
                <w:color w:val="000000"/>
                <w:sz w:val="13"/>
              </w:rPr>
              <w:t>(1)(2)</w:t>
            </w:r>
          </w:p>
        </w:tc>
      </w:tr>
      <w:tr>
        <w:trPr/>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through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201,500 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201,500 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 through August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 through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757,000 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757,000 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958,500</w:t>
            </w:r>
            <w:r>
              <w:rPr>
                <w:color w:val="000000"/>
              </w:rPr>
              <w:t> </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958,500</w:t>
            </w:r>
            <w:r>
              <w:rPr>
                <w:color w:val="000000"/>
              </w:rPr>
              <w:t> </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In December 2024, the Company’s Board of Directors authorized a share buyback program (the “Buyback Program”) which permits the Company to repurchase up to the lesser of (i) approximately 10.216 million shares of the Company’s Class A common stock; and (ii) $2.25 million worth of shares of Class A common stock, in the open market pursuant to a normal course issuer bid, subject to applicable legal, regulatory, and contractual requirements. The Buyback Program will expire on January 1, 2026 and may be suspended, terminated, or modified at any time for any reason and the Company is under no obligation to purchase any such shares for the duration of the Buyback Program. See Note 12, “Stockholders’ Equity,” in the Notes to the unaudited Condensed Consolidated Financial Statements for additional information. </w:t>
      </w:r>
    </w:p>
    <w:p>
      <w:pPr>
        <w:pStyle w:val="TextBody"/>
        <w:bidi w:val="0"/>
        <w:spacing w:lineRule="auto" w:line="288" w:before="0" w:after="18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As of the last day of the respective period. Includes plan administration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66</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Securities Trading Plans of Directors and Executive Officers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67</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2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(a) EXHIBIT INDEX </w:t>
      </w:r>
    </w:p>
    <w:tbl>
      <w:tblPr>
        <w:tblW w:w="10205" w:type="dxa"/>
        <w:jc w:val="center"/>
        <w:tblInd w:w="0" w:type="dxa"/>
        <w:tblLayout w:type="fixed"/>
        <w:tblCellMar>
          <w:top w:w="28" w:type="dxa"/>
          <w:left w:w="28" w:type="dxa"/>
          <w:bottom w:w="28" w:type="dxa"/>
          <w:right w:w="28" w:type="dxa"/>
        </w:tblCellMar>
      </w:tblPr>
      <w:tblGrid>
        <w:gridCol w:w="259"/>
        <w:gridCol w:w="228"/>
        <w:gridCol w:w="229"/>
        <w:gridCol w:w="109"/>
        <w:gridCol w:w="109"/>
        <w:gridCol w:w="109"/>
        <w:gridCol w:w="1908"/>
        <w:gridCol w:w="1648"/>
        <w:gridCol w:w="1655"/>
        <w:gridCol w:w="109"/>
        <w:gridCol w:w="109"/>
        <w:gridCol w:w="109"/>
        <w:gridCol w:w="175"/>
        <w:gridCol w:w="175"/>
        <w:gridCol w:w="176"/>
        <w:gridCol w:w="109"/>
        <w:gridCol w:w="109"/>
        <w:gridCol w:w="109"/>
        <w:gridCol w:w="237"/>
        <w:gridCol w:w="237"/>
        <w:gridCol w:w="199"/>
        <w:gridCol w:w="109"/>
        <w:gridCol w:w="109"/>
        <w:gridCol w:w="109"/>
        <w:gridCol w:w="225"/>
        <w:gridCol w:w="225"/>
        <w:gridCol w:w="226"/>
        <w:gridCol w:w="109"/>
        <w:gridCol w:w="109"/>
        <w:gridCol w:w="109"/>
        <w:gridCol w:w="300"/>
        <w:gridCol w:w="190"/>
        <w:gridCol w:w="278"/>
      </w:tblGrid>
      <w:tr>
        <w:trPr/>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r>
      <w:tr>
        <w:trPr/>
        <w:tc>
          <w:tcPr>
            <w:tcW w:w="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23, 2021</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23, 2021</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 xml:space="preserve">Specimen Stock Certificate evidencing the shares of common stock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15, 2021</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Form of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23, 2021</w:t>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Form of Warrant Agreement between Ascend Wellness Holdings, Inc. and each of the several lenders, dated June 30,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15, 2022</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Indenture dated July 16, 2024 by and between Ascend Wellness Holdings, Inc. and Odyssey Trust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22, 2024</w:t>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Guaranty dated July 16, 2024 by and between Chicago Alternative Health Center, LLC, HealthCentral, LLC, MOCA LLC, Revolution Cannabis-Barry, LLC, The Homecoming Group, LLC, Ascend Maryland, LLC, Ascend Mass, LLC, MassGrow, LLC, FPAW Michigan LLC, Ascend New Jersey, LLC, BCCO, LLC, Ohio Cannabis Clinic LLC, and Story of PA CR, LLC (collectively, the “Guarantors”)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22, 2024</w:t>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Pledge and Security Agreement dated July 16, 2024 by and between Ascend Wellness Holdings, Inc., and Revolution Cannabis-Barry, LLC, Chicago Alternative Health Center, LLC, MOCA LLC, Healthcentral, LLC, The Homecoming Group, LLC, Ascend Mass, LLC, Massgrow, LLC, FPAW Michigan, LLC, BCCO, LLC, Ohio Cannabis Clinic LLC, Ascend New Jersey, LLC, Story Of PA CR, LLC, Ascend Maryland, LLC, Ascend Mass, Inc., Ascend Illinois Holdings, LLC, Ascend Illinois, LLC, Massgrow, Inc., AWH Pennsylvania, LLC, FPAW Michigan 2, Inc., as the initial grantors (collectively, the “Initial Grantors”), and Odyssey Trust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22, 2024</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First Supplemental Indenture dated January 13, 2025 by and between Ascend Wellness Holdings, Inc. and Odyssey Trust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333-254800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14, 2025</w:t>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09302025.htm">
              <w:r>
                <w:rPr>
                  <w:rStyle w:val="InternetLink"/>
                  <w:rFonts w:ascii="Times New Roman;serif" w:hAnsi="Times New Roman;serif"/>
                  <w:b w:val="false"/>
                  <w:color w:val="0000FF"/>
                  <w:sz w:val="18"/>
                  <w:u w:val="single"/>
                </w:rPr>
                <w:t>Certification of Periodic Report by Principal Executive Officer under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09302025.htm">
              <w:r>
                <w:rPr>
                  <w:rStyle w:val="InternetLink"/>
                  <w:rFonts w:ascii="Times New Roman;serif" w:hAnsi="Times New Roman;serif"/>
                  <w:b w:val="false"/>
                  <w:color w:val="0000FF"/>
                  <w:sz w:val="18"/>
                  <w:u w:val="single"/>
                </w:rPr>
                <w:t>Certification of Periodic Report by Principal Financial Officer under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09302025.htm">
              <w:r>
                <w:rPr>
                  <w:rStyle w:val="InternetLink"/>
                  <w:rFonts w:ascii="Times New Roman;serif" w:hAnsi="Times New Roman;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68</w:t>
                      </w:r>
                    </w:p>
                  </w:txbxContent>
                </v:textbox>
                <w10:wrap type="none"/>
              </v:rect>
            </w:pict>
          </mc:Fallback>
        </mc:AlternateContent>
      </w:r>
    </w:p>
    <w:p>
      <w:pPr>
        <w:pStyle w:val="TextBody"/>
        <w:bidi w:val="0"/>
        <w:spacing w:before="0" w:after="180"/>
        <w:ind w:left="0" w:right="0" w:firstLine="720"/>
        <w:jc w:val="both"/>
        <w:rPr/>
      </w:pPr>
      <w:r>
        <w:rPr/>
      </w:r>
    </w:p>
    <w:tbl>
      <w:tblPr>
        <w:tblW w:w="10205" w:type="dxa"/>
        <w:jc w:val="center"/>
        <w:tblInd w:w="0" w:type="dxa"/>
        <w:tblLayout w:type="fixed"/>
        <w:tblCellMar>
          <w:top w:w="28" w:type="dxa"/>
          <w:left w:w="28" w:type="dxa"/>
          <w:bottom w:w="28" w:type="dxa"/>
          <w:right w:w="28" w:type="dxa"/>
        </w:tblCellMar>
      </w:tblPr>
      <w:tblGrid>
        <w:gridCol w:w="264"/>
        <w:gridCol w:w="205"/>
        <w:gridCol w:w="207"/>
        <w:gridCol w:w="109"/>
        <w:gridCol w:w="109"/>
        <w:gridCol w:w="109"/>
        <w:gridCol w:w="2223"/>
        <w:gridCol w:w="2154"/>
        <w:gridCol w:w="216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16"/>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    Certain schedules and exhibits have been omitted in compliance with Regulation S-K Item 601(a)(5) or certain personal information has been redacted from this exhibit pursuant to Item 601(a)(6) of Regulation S-K. The Company agrees to furnish a copy of any omitted schedule or exhibit to the SEC upon its request.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69</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811" w:type="dxa"/>
        <w:jc w:val="left"/>
        <w:tblInd w:w="0" w:type="dxa"/>
        <w:tblLayout w:type="fixed"/>
        <w:tblCellMar>
          <w:top w:w="28" w:type="dxa"/>
          <w:left w:w="28" w:type="dxa"/>
          <w:bottom w:w="28" w:type="dxa"/>
          <w:right w:w="28" w:type="dxa"/>
        </w:tblCellMar>
      </w:tblPr>
      <w:tblGrid>
        <w:gridCol w:w="625"/>
        <w:gridCol w:w="548"/>
        <w:gridCol w:w="551"/>
        <w:gridCol w:w="109"/>
        <w:gridCol w:w="109"/>
        <w:gridCol w:w="109"/>
        <w:gridCol w:w="807"/>
        <w:gridCol w:w="807"/>
        <w:gridCol w:w="1146"/>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Ascend Wellness Holdings, Inc.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Samuel Brill</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Samuel Brill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4466" w:type="dxa"/>
        <w:jc w:val="left"/>
        <w:tblInd w:w="0" w:type="dxa"/>
        <w:tblLayout w:type="fixed"/>
        <w:tblCellMar>
          <w:top w:w="28" w:type="dxa"/>
          <w:left w:w="28" w:type="dxa"/>
          <w:bottom w:w="28" w:type="dxa"/>
          <w:right w:w="28" w:type="dxa"/>
        </w:tblCellMar>
      </w:tblPr>
      <w:tblGrid>
        <w:gridCol w:w="625"/>
        <w:gridCol w:w="548"/>
        <w:gridCol w:w="551"/>
        <w:gridCol w:w="109"/>
        <w:gridCol w:w="109"/>
        <w:gridCol w:w="109"/>
        <w:gridCol w:w="706"/>
        <w:gridCol w:w="706"/>
        <w:gridCol w:w="1003"/>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Roman Nemchenko</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Roman Nemchenko</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Samuel Brill,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4853"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808"/>
        <w:gridCol w:w="808"/>
        <w:gridCol w:w="813"/>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SECURITIES EXCHANGE ACT OF 1934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RULE 13a-14(a) OR 15d-14(a)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Roman Nemchenko,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Ascend Wellness Holdings,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793"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789"/>
        <w:gridCol w:w="789"/>
        <w:gridCol w:w="791"/>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13a-14(b) OR 15d-14(b)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Ascend Wellness Holdings, Inc. (the “Company”) for the quarter ended September 30, 2025, as filed with the Securities and Exchange Commission on the date hereof (the “Report”), Samuel Brill, Chief Executive Officer of the Company, and Roman Nemchenko, Chief Financial Officer of the Company, each certifies for the purpose of complying with Rule 13a-14(b) or Rule 15d-14(b) of the Securities Exchange Act of 1934, as amended (the “Exchange Act”), and Section 1350 of Chapter 63 of Title 18 of the United States Code,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Exchange Act;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180"/>
        <w:jc w:val="left"/>
        <w:rPr/>
      </w:pPr>
      <w:r>
        <w:rPr/>
      </w:r>
    </w:p>
    <w:p>
      <w:pPr>
        <w:pStyle w:val="TextBody"/>
        <w:bidi w:val="0"/>
        <w:spacing w:before="0" w:after="180"/>
        <w:jc w:val="left"/>
        <w:rPr/>
      </w:pPr>
      <w:r>
        <w:rPr/>
      </w:r>
    </w:p>
    <w:tbl>
      <w:tblPr>
        <w:tblW w:w="4853"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808"/>
        <w:gridCol w:w="808"/>
        <w:gridCol w:w="813"/>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Samuel Brill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93" w:type="dxa"/>
        <w:jc w:val="left"/>
        <w:tblInd w:w="0" w:type="dxa"/>
        <w:tblLayout w:type="fixed"/>
        <w:tblCellMar>
          <w:top w:w="28" w:type="dxa"/>
          <w:left w:w="28" w:type="dxa"/>
          <w:bottom w:w="28" w:type="dxa"/>
          <w:right w:w="28" w:type="dxa"/>
        </w:tblCellMar>
      </w:tblPr>
      <w:tblGrid>
        <w:gridCol w:w="625"/>
        <w:gridCol w:w="549"/>
        <w:gridCol w:w="551"/>
        <w:gridCol w:w="109"/>
        <w:gridCol w:w="109"/>
        <w:gridCol w:w="109"/>
        <w:gridCol w:w="789"/>
        <w:gridCol w:w="789"/>
        <w:gridCol w:w="791"/>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56390/000162828021007411/exhibit34-sx1a2.htm" TargetMode="External"/><Relationship Id="rId4" Type="http://schemas.openxmlformats.org/officeDocument/2006/relationships/hyperlink" Target="https://www.sec.gov/Archives/edgar/data/1756390/000162828021007411/exhibit35-sx1a2.htm" TargetMode="External"/><Relationship Id="rId5" Type="http://schemas.openxmlformats.org/officeDocument/2006/relationships/hyperlink" Target="https://www.sec.gov/Archives/edgar/data/1756390/000162828021006948/exhibit41-sx1a1.htm" TargetMode="External"/><Relationship Id="rId6" Type="http://schemas.openxmlformats.org/officeDocument/2006/relationships/hyperlink" Target="https://www.sec.gov/Archives/edgar/data/1756390/000162828021007411/exhibit42-sx1a2.htm" TargetMode="External"/><Relationship Id="rId7" Type="http://schemas.openxmlformats.org/officeDocument/2006/relationships/hyperlink" Target="https://www.sec.gov/Archives/edgar/data/1756390/000162828022022910/formofwarrantagreement.htm" TargetMode="External"/><Relationship Id="rId8" Type="http://schemas.openxmlformats.org/officeDocument/2006/relationships/hyperlink" Target="https://www.sec.gov/Archives/edgar/data/1756390/000162828024032485/awh-2024notesindentureex41.htm" TargetMode="External"/><Relationship Id="rId9" Type="http://schemas.openxmlformats.org/officeDocument/2006/relationships/hyperlink" Target="https://www.sec.gov/Archives/edgar/data/1756390/000162828024032485/ascend-guarantyex42toform8.htm" TargetMode="External"/><Relationship Id="rId10" Type="http://schemas.openxmlformats.org/officeDocument/2006/relationships/hyperlink" Target="https://www.sec.gov/Archives/edgar/data/1756390/000162828024032485/ascend-pledgeandsecurityag.htm" TargetMode="External"/><Relationship Id="rId11" Type="http://schemas.openxmlformats.org/officeDocument/2006/relationships/hyperlink" Target="https://www.sec.gov/Archives/edgar/data/1756390/000162828025001438/ex41firstsupplementalinden.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36619</Words>
  <Characters>205328</Characters>
  <CharactersWithSpaces>240263</CharactersWithSpaces>
  <Paragraphs>2992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