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778d1_defa14a.htm"/>
      <w:bookmarkStart w:id="1" w:name="kstm2622778d1_defa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245"/>
        <w:gridCol w:w="7700"/>
      </w:tblGrid>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pPr>
            <w:r>
              <w:rPr/>
              <w:t>Preliminary Proxy Statement</w:t>
            </w:r>
          </w:p>
        </w:tc>
      </w:tr>
      <w:tr>
        <w:trPr/>
        <w:tc>
          <w:tcPr>
            <w:tcW w:w="245"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pPr>
            <w:r>
              <w:rPr/>
              <w:t>Confidential, for Use of the Commission Only (as permitted by Rule 14a-6(e)(2))</w:t>
            </w:r>
          </w:p>
        </w:tc>
      </w:tr>
      <w:tr>
        <w:trPr/>
        <w:tc>
          <w:tcPr>
            <w:tcW w:w="245"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pPr>
            <w:r>
              <w:rPr/>
              <w:t>Definitive Proxy Statement</w:t>
            </w:r>
          </w:p>
        </w:tc>
      </w:tr>
      <w:tr>
        <w:trPr/>
        <w:tc>
          <w:tcPr>
            <w:tcW w:w="245"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pPr>
            <w:r>
              <w:rPr/>
              <w:t>Definitive Additional Materials</w:t>
            </w:r>
          </w:p>
        </w:tc>
      </w:tr>
      <w:tr>
        <w:trPr/>
        <w:tc>
          <w:tcPr>
            <w:tcW w:w="245"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pPr>
            <w:r>
              <w:rPr/>
              <w:t>Soliciting Material Pursuant to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8600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8763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ASCEND WELLNESS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245"/>
        <w:gridCol w:w="9725"/>
      </w:tblGrid>
      <w:tr>
        <w:trPr/>
        <w:tc>
          <w:tcPr>
            <w:tcW w:w="245"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both"/>
              <w:rPr/>
            </w:pPr>
            <w:r>
              <w:rPr/>
              <w:t>No fee required.</w:t>
            </w:r>
          </w:p>
        </w:tc>
      </w:tr>
      <w:tr>
        <w:trPr/>
        <w:tc>
          <w:tcPr>
            <w:tcW w:w="245"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both"/>
              <w:rPr/>
            </w:pPr>
            <w:r>
              <w:rPr/>
              <w:t>Fee paid previously with preliminary materials.</w:t>
            </w:r>
          </w:p>
        </w:tc>
      </w:tr>
      <w:tr>
        <w:trPr/>
        <w:tc>
          <w:tcPr>
            <w:tcW w:w="245"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both"/>
              <w:rPr/>
            </w:pPr>
            <w:r>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885950" cy="800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85950" cy="800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AWH Reminds Stockholders to Vote on Reverse Stock Split for August 28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unanimously recommends voting “FOR” - approval requires a majority of all outstanding shares, so every vote 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Proxies must be received by 11:00 a.m. Eastern Time on August 26, 2026, or stockholders may vote online during the virtual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August 10, 2026</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Ascend Wellness Holdings, Inc.</w:t>
      </w:r>
      <w:r>
        <w:rPr>
          <w:rFonts w:ascii="Times New Roman;Times;Serif" w:hAnsi="Times New Roman;Times;Serif"/>
          <w:b w:val="false"/>
          <w:i w:val="false"/>
          <w:caps w:val="false"/>
          <w:smallCaps w:val="false"/>
          <w:sz w:val="20"/>
        </w:rPr>
        <w:t xml:space="preserve"> (“AWH,” “Ascend,” or the “Company”) (CSE: AAWH-U.CN) (OTCQX: AAWH), a multi-state, vertically integrated cannabis operator and consumer packaged goods company, today asks stockholders to vote their shares in connection with the Company’s Special Meeting of Stockholders (the “Special Meeting”), to be held virtually on Friday, August 28, 2026, at 11:00 a.m. Eastern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are being asked to vote on a proposal to approve a reverse stock split (the “Reverse Stock Split”) of the Company’s Class A common stock (the “Class A Common Shares”) at a ratio between 1-for-10 and 1-for-50, to be implemented at the discretion of the Board of Directors (the “Board”) in support of the Company’s planned application to list the Class A Common Shares on a national securities exchange, as well as a related proposal to adjourn the Special Meeting, if necessary, to solicit additional proxies. There can be no assurance, however, that the Company will be listed on a U.S. national securities exchange or that the Reverse Stock Split will result in a sustained increase in the trading price of the Class A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unanimously recommends that stockholders vote “FOR” each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Every vote counts as we work toward our goal of uplisting on a major U.S. exchange,” said Sam Brill, CEO &amp; Director of AWH. “We encourage all stockholders to submit their proxy today, even if they plan to attend the virtual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Deadline and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record as of the close of business on July 7, 2026 are entitled to vote. Because approval of the Reverse Stock Split proposal requires the affirmative vote of holders of a majority of the Company’s outstanding Class A Common Shares entitled to vote, every unvoted share and every abstention has the same effect as a vote “AGAINST”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may be cast by proxy in advance of the Special Meeting or online during the virtual Special Meeting. Proxies must be received no later than 11:00 a.m. Eastern Time on Wednesday, August 26, 2026. Stockholders who have already submitted a proxy do not need to take further action; voting online during the Special Meeting will automatically revoke any previously submitted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hold shares through a bank, broker, or other intermediary should follow the voting instructions provided by that intermediary.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questions about voting, or for assistance submitting a proxy, please contact the Company’s transfer agent, Odyssey Trust Company, at (888) 290-1175 (within North America) or (587) 885-0960 (outside North America), or by email at </w:t>
      </w:r>
      <w:r>
        <w:rPr>
          <w:rFonts w:ascii="Times New Roman;Times;Serif" w:hAnsi="Times New Roman;Times;Serif"/>
          <w:b w:val="false"/>
          <w:i w:val="false"/>
          <w:caps w:val="false"/>
          <w:smallCaps w:val="false"/>
          <w:sz w:val="20"/>
          <w:u w:val="single"/>
        </w:rPr>
        <w:t>shareholders@odysseytrust.com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Complete details regarding the proposals are set out in the definitive proxy statement filed with the U.S. Securities and Exchange Commission (“SEC”), which is available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on SEDAR+ at </w:t>
      </w:r>
      <w:r>
        <w:rPr>
          <w:rFonts w:ascii="Times New Roman;Times;Serif" w:hAnsi="Times New Roman;Times;Serif"/>
          <w:b w:val="false"/>
          <w:i w:val="false"/>
          <w:caps w:val="false"/>
          <w:smallCaps w:val="false"/>
          <w:sz w:val="20"/>
          <w:u w:val="single"/>
        </w:rPr>
        <w:t>www.sedarplus.ca</w:t>
      </w:r>
      <w:r>
        <w:rPr>
          <w:rFonts w:ascii="Times New Roman;Times;Serif" w:hAnsi="Times New Roman;Times;Serif"/>
          <w:b w:val="false"/>
          <w:i w:val="false"/>
          <w:caps w:val="false"/>
          <w:smallCaps w:val="false"/>
          <w:sz w:val="20"/>
        </w:rPr>
        <w:t xml:space="preserve">, and on the website of Odyssey Trust Company at </w:t>
      </w:r>
      <w:r>
        <w:rPr>
          <w:rFonts w:ascii="Times New Roman;Times;Serif" w:hAnsi="Times New Roman;Times;Serif"/>
          <w:b w:val="false"/>
          <w:i w:val="false"/>
          <w:caps w:val="false"/>
          <w:smallCaps w:val="false"/>
          <w:sz w:val="20"/>
          <w:u w:val="single"/>
        </w:rPr>
        <w:t>https://odysseytrust.com/client/ascend-wellness-holdings-inc/</w:t>
      </w:r>
      <w:r>
        <w:rPr>
          <w:rFonts w:ascii="Times New Roman;Times;Serif" w:hAnsi="Times New Roman;Times;Serif"/>
          <w:b w:val="false"/>
          <w:i w:val="false"/>
          <w:caps w:val="false"/>
          <w:smallCaps w:val="false"/>
          <w:sz w:val="20"/>
        </w:rPr>
        <w:t>. Stockholders are encouraged to read the proxy statement in its entirety.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Ascend Wellness Holdings,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AWH is a vertically integrated cannabis operator with assets in Illinois, Maryland, Massachusetts, Michigan, New Jersey, Ohio, and Pennsylvania. AWH owns and operates state-of-the-art cultivation facilities, growing award-winning strains and producing a curated selection of products for retail and wholesale customers. AWH produces and distributes its in-house Ozone, Simply Herb, High Wired, Honor Roll, Royale, and Effin’ branded products. For more information about AWH, visit </w:t>
      </w:r>
      <w:r>
        <w:rPr>
          <w:rFonts w:ascii="Times New Roman;Times;Serif" w:hAnsi="Times New Roman;Times;Serif"/>
          <w:b w:val="false"/>
          <w:i w:val="false"/>
          <w:caps w:val="false"/>
          <w:smallCaps w:val="false"/>
          <w:sz w:val="20"/>
          <w:u w:val="single"/>
        </w:rPr>
        <w:t>www.awholdings.com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Note Regarding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news release contains forward-looking information and forward-looking statements (collectively, “forward-looking statements”) within the meaning of applicable U.S. and Canadian securities laws, which may include, but are not limited to, the plans, intentions, expectations, estimates, and beliefs of the Company. Words such as “expects”, “continue(s)”, “may”, “will”, “anticipates”, “believes”, “estimates”, “plans”, “projects”, “outlook”, “guidance” and “intends” or similar expressions are intended to identify forward-looking statements. Forward-looking statements in this press release also include, without limitation, statements regarding the Company’s proposed Reverse Stock Split, the Special Meeting, the Company’s plans to seek listing on a national securities exchange, and the anticipated effects of these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investors that any such forward-looking statements are based on the Company’s current projections and expectations about future events and financial trends, the receipt of all required regulatory approvals, and on certain assumptions, estimates, and analyses made by the Company in light of the experience of the Company and its perception of historical trends, current conditions, and expected future developments and other factors that management believes are appropriate, including, assumptions regarding the timing and outcome of U.S. federal regulatory developments affecting the cannabis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Forward-looking statements involve and are subject to assumptions and known and unknown risks, uncertainties, and other factors which may cause actual events, results, performance, or achievements of the Company to be materially different from those expressed or implied by forward-looking statements herein. Such factors include, without limitation, the risks and uncertainties identified in the Company’s most recently filed Annual Report on Form 10-K, as updated in subsequently filed Quarterly Reports on Form 10-Q, as applicable, and in the Company’s other reports and filings with the applicable Canadian securities administrators on its profile on SEDAR+ at www.sedarplus.ca and the SEC on its profile on EDGAR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Readers are cautioned that the foregoing list of factors is not exhaustive.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believes that any forward-looking statements herein are reasonable, in light of the use of assumptions and the significant risks and uncertainties inherent in such statements, there can be no assurance that any such forward-looking statements will prove to be accurate, and accordingly readers are advised to rely on their own evaluation of such risks and uncertainties and should not place undue reliance upon such forward-looking statements. Any forward-looking statements herein are made as of the date hereof, and except as required by applicable laws, the Company assumes no obligation and disclaims any intention to update or revise any forward-looking statements herein or to update the reasons that actual events or results could or do differ from those projected in any forward-looking statements herein, whether as a result of new information, future events or results, or otherwise. No securities regulator nor the Canadian Securities Exchange has reviewed, approved, or disapproved the content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is not a solicitation of a proxy. The Company has filed a definitive proxy statement with the SEC in connection with the Special Meeting. Stockholders are urged to read the definitive proxy statement and other relevant documents filed with the SEC carefully and in their entirety, as they contain important information about the matters to be voted upon. Free copies of these documents are available through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on SEDAR+ at </w:t>
      </w:r>
      <w:r>
        <w:rPr>
          <w:rFonts w:ascii="Times New Roman;Times;Serif" w:hAnsi="Times New Roman;Times;Serif"/>
          <w:b w:val="false"/>
          <w:i w:val="false"/>
          <w:caps w:val="false"/>
          <w:smallCaps w:val="false"/>
          <w:sz w:val="20"/>
          <w:u w:val="single"/>
        </w:rPr>
        <w:t>www.sedarplus.ca</w:t>
      </w:r>
      <w:r>
        <w:rPr>
          <w:rFonts w:ascii="Times New Roman;Times;Serif" w:hAnsi="Times New Roman;Times;Serif"/>
          <w:b w:val="false"/>
          <w:i w:val="false"/>
          <w:caps w:val="false"/>
          <w:smallCaps w:val="false"/>
          <w:sz w:val="20"/>
        </w:rPr>
        <w:t>, or through the Company’s transfer agent, Odyssey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Frank Perullo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President &amp; Director</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IR@awholdings.com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 661-7600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&amp; Media Inquiries: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MATTIO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AWH@mattio.com</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IR@awholdings.com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1318</Words>
  <Characters>7651</Characters>
  <CharactersWithSpaces>8978</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